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932" w:rightChars="-444" w:firstLine="0" w:firstLineChars="0"/>
        <w:jc w:val="center"/>
        <w:rPr>
          <w:rFonts w:ascii="宋体" w:hAnsi="宋体" w:eastAsia="宋体" w:cstheme="majorHAnsi"/>
          <w:b/>
          <w:bCs/>
          <w:sz w:val="44"/>
          <w:szCs w:val="44"/>
        </w:rPr>
      </w:pPr>
    </w:p>
    <w:p>
      <w:pPr>
        <w:ind w:firstLine="0" w:firstLineChars="0"/>
        <w:rPr>
          <w:rFonts w:ascii="宋体" w:hAnsi="宋体" w:eastAsia="宋体" w:cstheme="majorHAnsi"/>
          <w:b/>
          <w:bCs/>
          <w:sz w:val="44"/>
          <w:szCs w:val="44"/>
        </w:rPr>
      </w:pPr>
    </w:p>
    <w:p>
      <w:pPr>
        <w:ind w:firstLine="0" w:firstLineChars="0"/>
        <w:jc w:val="center"/>
        <w:rPr>
          <w:rFonts w:ascii="宋体" w:hAnsi="宋体" w:eastAsia="宋体" w:cstheme="majorHAnsi"/>
          <w:b/>
          <w:bCs/>
          <w:sz w:val="44"/>
          <w:szCs w:val="44"/>
        </w:rPr>
      </w:pPr>
      <w:r>
        <w:rPr>
          <w:rFonts w:ascii="宋体" w:hAnsi="宋体" w:eastAsia="宋体" w:cstheme="majorHAnsi"/>
          <w:b/>
          <w:bCs/>
          <w:sz w:val="44"/>
          <w:szCs w:val="44"/>
        </w:rPr>
        <w:t>A股上市公司高质量发展</w:t>
      </w:r>
    </w:p>
    <w:p>
      <w:pPr>
        <w:ind w:firstLine="0" w:firstLineChars="0"/>
        <w:jc w:val="center"/>
        <w:rPr>
          <w:rFonts w:ascii="宋体" w:hAnsi="宋体" w:eastAsia="宋体" w:cstheme="majorHAnsi"/>
          <w:b/>
          <w:bCs/>
          <w:sz w:val="44"/>
          <w:szCs w:val="44"/>
        </w:rPr>
      </w:pPr>
      <w:r>
        <w:rPr>
          <w:rFonts w:ascii="宋体" w:hAnsi="宋体" w:eastAsia="宋体" w:cstheme="majorHAnsi"/>
          <w:b/>
          <w:bCs/>
          <w:sz w:val="44"/>
          <w:szCs w:val="44"/>
        </w:rPr>
        <w:t>是中国经济的重要支撑</w:t>
      </w:r>
    </w:p>
    <w:p>
      <w:pPr>
        <w:ind w:firstLine="1767" w:firstLineChars="400"/>
        <w:jc w:val="left"/>
        <w:rPr>
          <w:rFonts w:asciiTheme="majorEastAsia" w:hAnsiTheme="majorEastAsia" w:eastAsiaTheme="majorEastAsia"/>
          <w:b/>
          <w:sz w:val="28"/>
        </w:rPr>
      </w:pPr>
      <w:r>
        <w:rPr>
          <w:rFonts w:hint="eastAsia" w:asciiTheme="majorEastAsia" w:hAnsiTheme="majorEastAsia" w:eastAsiaTheme="majorEastAsia" w:cstheme="majorHAnsi"/>
          <w:b/>
          <w:bCs/>
          <w:sz w:val="44"/>
          <w:szCs w:val="44"/>
        </w:rPr>
        <w:t>—</w:t>
      </w:r>
      <w:r>
        <w:rPr>
          <w:rFonts w:asciiTheme="majorEastAsia" w:hAnsiTheme="majorEastAsia" w:eastAsiaTheme="majorEastAsia"/>
          <w:b/>
          <w:sz w:val="28"/>
        </w:rPr>
        <w:t>2023年</w:t>
      </w:r>
      <w:r>
        <w:rPr>
          <w:rFonts w:hint="eastAsia" w:asciiTheme="majorEastAsia" w:hAnsiTheme="majorEastAsia" w:eastAsiaTheme="majorEastAsia" w:cstheme="majorHAnsi"/>
          <w:b/>
          <w:bCs/>
          <w:sz w:val="28"/>
          <w:szCs w:val="28"/>
        </w:rPr>
        <w:t>A股上市公司</w:t>
      </w:r>
      <w:r>
        <w:rPr>
          <w:rFonts w:asciiTheme="majorEastAsia" w:hAnsiTheme="majorEastAsia" w:eastAsiaTheme="majorEastAsia"/>
          <w:b/>
          <w:sz w:val="28"/>
        </w:rPr>
        <w:t>半年报解读</w:t>
      </w:r>
    </w:p>
    <w:p>
      <w:pPr>
        <w:ind w:firstLine="0" w:firstLineChars="0"/>
        <w:jc w:val="left"/>
        <w:rPr>
          <w:rFonts w:asciiTheme="majorEastAsia" w:hAnsiTheme="majorEastAsia" w:eastAsiaTheme="majorEastAsia"/>
          <w:b/>
          <w:sz w:val="28"/>
        </w:rPr>
      </w:pPr>
    </w:p>
    <w:p>
      <w:pPr>
        <w:ind w:firstLine="0" w:firstLineChars="0"/>
        <w:jc w:val="center"/>
        <w:rPr>
          <w:rFonts w:asciiTheme="majorEastAsia" w:hAnsiTheme="majorEastAsia" w:eastAsiaTheme="majorEastAsia"/>
          <w:b/>
          <w:sz w:val="28"/>
        </w:rPr>
      </w:pPr>
      <w:r>
        <w:rPr>
          <w:rFonts w:hint="eastAsia" w:asciiTheme="majorEastAsia" w:hAnsiTheme="majorEastAsia" w:eastAsiaTheme="majorEastAsia"/>
          <w:b/>
          <w:sz w:val="28"/>
        </w:rPr>
        <w:t>黄运成</w:t>
      </w:r>
      <w:r>
        <w:rPr>
          <w:rStyle w:val="26"/>
          <w:rFonts w:asciiTheme="majorEastAsia" w:hAnsiTheme="majorEastAsia" w:eastAsiaTheme="majorEastAsia"/>
          <w:b/>
          <w:sz w:val="28"/>
        </w:rPr>
        <w:footnoteReference w:id="0"/>
      </w:r>
      <w:r>
        <w:rPr>
          <w:rFonts w:hint="eastAsia" w:asciiTheme="majorEastAsia" w:hAnsiTheme="majorEastAsia" w:eastAsiaTheme="majorEastAsia"/>
          <w:b/>
          <w:sz w:val="28"/>
        </w:rPr>
        <w:t>、苏梅</w:t>
      </w:r>
      <w:r>
        <w:rPr>
          <w:rStyle w:val="26"/>
          <w:rFonts w:asciiTheme="majorEastAsia" w:hAnsiTheme="majorEastAsia" w:eastAsiaTheme="majorEastAsia"/>
          <w:b/>
          <w:sz w:val="28"/>
        </w:rPr>
        <w:footnoteReference w:id="1"/>
      </w:r>
      <w:r>
        <w:rPr>
          <w:rFonts w:hint="eastAsia" w:asciiTheme="majorEastAsia" w:hAnsiTheme="majorEastAsia" w:eastAsiaTheme="majorEastAsia"/>
          <w:b/>
          <w:sz w:val="28"/>
        </w:rPr>
        <w:t>、邢宇奇</w:t>
      </w:r>
      <w:r>
        <w:rPr>
          <w:rStyle w:val="26"/>
          <w:rFonts w:asciiTheme="majorEastAsia" w:hAnsiTheme="majorEastAsia" w:eastAsiaTheme="majorEastAsia"/>
          <w:b/>
          <w:sz w:val="28"/>
        </w:rPr>
        <w:footnoteReference w:id="2"/>
      </w:r>
    </w:p>
    <w:p>
      <w:pPr>
        <w:widowControl/>
        <w:spacing w:line="240" w:lineRule="auto"/>
        <w:ind w:firstLine="0" w:firstLineChars="0"/>
        <w:jc w:val="left"/>
        <w:rPr>
          <w:rFonts w:ascii="宋体" w:hAnsi="宋体" w:eastAsia="宋体" w:cstheme="majorHAnsi"/>
          <w:b/>
          <w:bCs/>
          <w:sz w:val="44"/>
          <w:szCs w:val="44"/>
        </w:rPr>
      </w:pPr>
      <w:r>
        <w:rPr>
          <w:rFonts w:ascii="宋体" w:hAnsi="宋体" w:eastAsia="宋体" w:cstheme="majorHAnsi"/>
          <w:b/>
          <w:bCs/>
          <w:sz w:val="44"/>
          <w:szCs w:val="44"/>
        </w:rPr>
        <w:br w:type="page"/>
      </w:r>
      <w:bookmarkStart w:id="224" w:name="_GoBack"/>
      <w:bookmarkEnd w:id="224"/>
    </w:p>
    <w:sdt>
      <w:sdtPr>
        <w:rPr>
          <w:rFonts w:ascii="宋体" w:hAnsi="宋体" w:eastAsia="宋体" w:cstheme="majorHAnsi"/>
          <w:lang w:val="zh-CN"/>
        </w:rPr>
        <w:id w:val="-1"/>
        <w:docPartObj>
          <w:docPartGallery w:val="Table of Contents"/>
          <w:docPartUnique/>
        </w:docPartObj>
      </w:sdtPr>
      <w:sdtEndPr>
        <w:rPr>
          <w:rFonts w:ascii="宋体" w:hAnsi="宋体" w:eastAsia="宋体" w:cstheme="majorHAnsi"/>
          <w:b/>
          <w:bCs/>
          <w:lang w:val="zh-CN"/>
        </w:rPr>
      </w:sdtEndPr>
      <w:sdtContent>
        <w:p>
          <w:pPr>
            <w:spacing w:line="240" w:lineRule="auto"/>
            <w:ind w:firstLine="0" w:firstLineChars="0"/>
            <w:jc w:val="center"/>
            <w:rPr>
              <w:rFonts w:ascii="宋体" w:hAnsi="宋体" w:eastAsia="宋体"/>
              <w:sz w:val="24"/>
              <w:szCs w:val="28"/>
            </w:rPr>
          </w:pPr>
          <w:r>
            <w:rPr>
              <w:rFonts w:ascii="宋体" w:hAnsi="宋体" w:eastAsia="宋体"/>
              <w:sz w:val="24"/>
              <w:szCs w:val="28"/>
            </w:rPr>
            <w:t>目</w:t>
          </w:r>
          <w:r>
            <w:rPr>
              <w:rFonts w:hint="eastAsia" w:ascii="宋体" w:hAnsi="宋体" w:eastAsia="宋体"/>
              <w:sz w:val="24"/>
              <w:szCs w:val="28"/>
            </w:rPr>
            <w:t xml:space="preserve"> </w:t>
          </w:r>
          <w:r>
            <w:rPr>
              <w:rFonts w:ascii="宋体" w:hAnsi="宋体" w:eastAsia="宋体"/>
              <w:sz w:val="24"/>
              <w:szCs w:val="28"/>
            </w:rPr>
            <w:t>录</w:t>
          </w:r>
        </w:p>
        <w:p>
          <w:pPr>
            <w:pStyle w:val="15"/>
            <w:rPr>
              <w:rFonts w:eastAsiaTheme="minorEastAsia"/>
              <w:b w:val="0"/>
              <w14:ligatures w14:val="standardContextual"/>
            </w:rPr>
          </w:pPr>
          <w:r>
            <w:rPr>
              <w:rFonts w:ascii="宋体" w:hAnsi="宋体" w:cstheme="majorHAnsi"/>
            </w:rPr>
            <w:fldChar w:fldCharType="begin"/>
          </w:r>
          <w:r>
            <w:rPr>
              <w:rFonts w:ascii="宋体" w:hAnsi="宋体" w:cstheme="majorHAnsi"/>
            </w:rPr>
            <w:instrText xml:space="preserve"> TOC \o "1-3" \h \z \u </w:instrText>
          </w:r>
          <w:r>
            <w:rPr>
              <w:rFonts w:ascii="宋体" w:hAnsi="宋体" w:cstheme="majorHAnsi"/>
            </w:rPr>
            <w:fldChar w:fldCharType="separate"/>
          </w:r>
          <w:r>
            <w:fldChar w:fldCharType="begin"/>
          </w:r>
          <w:r>
            <w:instrText xml:space="preserve"> HYPERLINK \l "_Toc148969271" </w:instrText>
          </w:r>
          <w:r>
            <w:fldChar w:fldCharType="separate"/>
          </w:r>
          <w:r>
            <w:rPr>
              <w:rStyle w:val="24"/>
              <w:rFonts w:ascii="宋体" w:hAnsi="宋体" w:cstheme="majorHAnsi"/>
            </w:rPr>
            <w:t>一、 2023年上半年A股上市公司发展概述</w:t>
          </w:r>
          <w:r>
            <w:tab/>
          </w:r>
          <w:r>
            <w:fldChar w:fldCharType="begin"/>
          </w:r>
          <w:r>
            <w:instrText xml:space="preserve"> PAGEREF _Toc148969271 \h </w:instrText>
          </w:r>
          <w:r>
            <w:fldChar w:fldCharType="separate"/>
          </w:r>
          <w:r>
            <w:t>1</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"_Toc148969272" </w:instrText>
          </w:r>
          <w:r>
            <w:fldChar w:fldCharType="separate"/>
          </w:r>
          <w:r>
            <w:rPr>
              <w:rStyle w:val="24"/>
            </w:rPr>
            <w:t>(一) 2023年上半年上市公司总体情况</w:t>
          </w:r>
          <w:r>
            <w:tab/>
          </w:r>
          <w:r>
            <w:fldChar w:fldCharType="begin"/>
          </w:r>
          <w:r>
            <w:instrText xml:space="preserve"> PAGEREF _Toc148969272 \h </w:instrText>
          </w:r>
          <w:r>
            <w:fldChar w:fldCharType="separate"/>
          </w:r>
          <w:r>
            <w:t>1</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"_Toc148969273" </w:instrText>
          </w:r>
          <w:r>
            <w:fldChar w:fldCharType="separate"/>
          </w:r>
          <w:r>
            <w:rPr>
              <w:rStyle w:val="24"/>
            </w:rPr>
            <w:t>(二) 工业上市公司继续发挥压舱石作用</w:t>
          </w:r>
          <w:r>
            <w:tab/>
          </w:r>
          <w:r>
            <w:fldChar w:fldCharType="begin"/>
          </w:r>
          <w:r>
            <w:instrText xml:space="preserve"> PAGEREF _Toc148969273 \h </w:instrText>
          </w:r>
          <w:r>
            <w:fldChar w:fldCharType="separate"/>
          </w:r>
          <w:r>
            <w:t>2</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"_Toc148969274" </w:instrText>
          </w:r>
          <w:r>
            <w:fldChar w:fldCharType="separate"/>
          </w:r>
          <w:r>
            <w:rPr>
              <w:rStyle w:val="24"/>
            </w:rPr>
            <w:t>(三) 十大省份上市公司贡献了地区24.22%的税收收入</w:t>
          </w:r>
          <w:r>
            <w:tab/>
          </w:r>
          <w:r>
            <w:fldChar w:fldCharType="begin"/>
          </w:r>
          <w:r>
            <w:instrText xml:space="preserve"> PAGEREF _Toc148969274 \h </w:instrText>
          </w:r>
          <w:r>
            <w:fldChar w:fldCharType="separate"/>
          </w:r>
          <w:r>
            <w:t>3</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"_Toc148969275" </w:instrText>
          </w:r>
          <w:r>
            <w:fldChar w:fldCharType="separate"/>
          </w:r>
          <w:r>
            <w:rPr>
              <w:rStyle w:val="24"/>
            </w:rPr>
            <w:t>(四) 十大行业研发投入增长超过11%</w:t>
          </w:r>
          <w:r>
            <w:tab/>
          </w:r>
          <w:r>
            <w:fldChar w:fldCharType="begin"/>
          </w:r>
          <w:r>
            <w:instrText xml:space="preserve"> PAGEREF _Toc148969275 \h </w:instrText>
          </w:r>
          <w:r>
            <w:fldChar w:fldCharType="separate"/>
          </w:r>
          <w:r>
            <w:t>4</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"_Toc148969276" </w:instrText>
          </w:r>
          <w:r>
            <w:fldChar w:fldCharType="separate"/>
          </w:r>
          <w:r>
            <w:rPr>
              <w:rStyle w:val="24"/>
            </w:rPr>
            <w:t>(五) 科创板研发投入表现保持较高水平</w:t>
          </w:r>
          <w:r>
            <w:tab/>
          </w:r>
          <w:r>
            <w:fldChar w:fldCharType="begin"/>
          </w:r>
          <w:r>
            <w:instrText xml:space="preserve"> PAGEREF _Toc148969276 \h </w:instrText>
          </w:r>
          <w:r>
            <w:fldChar w:fldCharType="separate"/>
          </w:r>
          <w:r>
            <w:t>4</w:t>
          </w:r>
          <w:r>
            <w:fldChar w:fldCharType="end"/>
          </w:r>
          <w:r>
            <w:fldChar w:fldCharType="end"/>
          </w:r>
        </w:p>
        <w:p>
          <w:pPr>
            <w:pStyle w:val="15"/>
            <w:rPr>
              <w:rFonts w:eastAsiaTheme="minorEastAsia"/>
              <w:b w:val="0"/>
              <w14:ligatures w14:val="standardContextual"/>
            </w:rPr>
          </w:pPr>
          <w:r>
            <w:fldChar w:fldCharType="begin"/>
          </w:r>
          <w:r>
            <w:instrText xml:space="preserve"> HYPERLINK \l "_Toc148969277" </w:instrText>
          </w:r>
          <w:r>
            <w:fldChar w:fldCharType="separate"/>
          </w:r>
          <w:r>
            <w:rPr>
              <w:rStyle w:val="24"/>
              <w:rFonts w:ascii="宋体" w:hAnsi="宋体" w:cstheme="majorHAnsi"/>
            </w:rPr>
            <w:t>二、 2023年上半年度A股上市公司发展特点</w:t>
          </w:r>
          <w:r>
            <w:tab/>
          </w:r>
          <w:r>
            <w:fldChar w:fldCharType="begin"/>
          </w:r>
          <w:r>
            <w:instrText xml:space="preserve"> PAGEREF _Toc148969277 \h </w:instrText>
          </w:r>
          <w:r>
            <w:fldChar w:fldCharType="separate"/>
          </w:r>
          <w:r>
            <w:t>5</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"_Toc148969278" </w:instrText>
          </w:r>
          <w:r>
            <w:fldChar w:fldCharType="separate"/>
          </w:r>
          <w:r>
            <w:rPr>
              <w:rStyle w:val="24"/>
            </w:rPr>
            <w:t>(一) 高市值上市公司领头地位稳固，盈利能力良好</w:t>
          </w:r>
          <w:r>
            <w:tab/>
          </w:r>
          <w:r>
            <w:fldChar w:fldCharType="begin"/>
          </w:r>
          <w:r>
            <w:instrText xml:space="preserve"> PAGEREF _Toc148969278 \h </w:instrText>
          </w:r>
          <w:r>
            <w:fldChar w:fldCharType="separate"/>
          </w:r>
          <w:r>
            <w:t>5</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"_Toc148969279" </w:instrText>
          </w:r>
          <w:r>
            <w:fldChar w:fldCharType="separate"/>
          </w:r>
          <w:r>
            <w:rPr>
              <w:rStyle w:val="24"/>
            </w:rPr>
            <w:t>(二) 头部上市公司是税费缴纳的“排头兵”，有力推动经济发展</w:t>
          </w:r>
          <w:r>
            <w:tab/>
          </w:r>
          <w:r>
            <w:fldChar w:fldCharType="begin"/>
          </w:r>
          <w:r>
            <w:instrText xml:space="preserve"> PAGEREF _Toc148969279 \h </w:instrText>
          </w:r>
          <w:r>
            <w:fldChar w:fldCharType="separate"/>
          </w:r>
          <w:r>
            <w:t>6</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"_Toc148969280" </w:instrText>
          </w:r>
          <w:r>
            <w:fldChar w:fldCharType="separate"/>
          </w:r>
          <w:r>
            <w:rPr>
              <w:rStyle w:val="24"/>
            </w:rPr>
            <w:t>(三) 银行业净利润稳固，社会服务、电力设备、汽车行业营收增长迅速</w:t>
          </w:r>
          <w:r>
            <w:tab/>
          </w:r>
          <w:r>
            <w:fldChar w:fldCharType="begin"/>
          </w:r>
          <w:r>
            <w:instrText xml:space="preserve"> PAGEREF _Toc148969280 \h </w:instrText>
          </w:r>
          <w:r>
            <w:fldChar w:fldCharType="separate"/>
          </w:r>
          <w:r>
            <w:t>7</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"_Toc148969281" </w:instrText>
          </w:r>
          <w:r>
            <w:fldChar w:fldCharType="separate"/>
          </w:r>
          <w:r>
            <w:rPr>
              <w:rStyle w:val="24"/>
            </w:rPr>
            <w:t>(四) A股分红增长8.52%，华东与华北地区分红总额占比均超30%</w:t>
          </w:r>
          <w:r>
            <w:tab/>
          </w:r>
          <w:r>
            <w:fldChar w:fldCharType="begin"/>
          </w:r>
          <w:r>
            <w:instrText xml:space="preserve"> PAGEREF _Toc148969281 \h </w:instrText>
          </w:r>
          <w:r>
            <w:fldChar w:fldCharType="separate"/>
          </w:r>
          <w:r>
            <w:t>8</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"_Toc148969282" </w:instrText>
          </w:r>
          <w:r>
            <w:fldChar w:fldCharType="separate"/>
          </w:r>
          <w:r>
            <w:rPr>
              <w:rStyle w:val="24"/>
            </w:rPr>
            <w:t>(五) 国有控股公司继续发挥稳增长作用，引领发展新格局</w:t>
          </w:r>
          <w:r>
            <w:tab/>
          </w:r>
          <w:r>
            <w:fldChar w:fldCharType="begin"/>
          </w:r>
          <w:r>
            <w:instrText xml:space="preserve"> PAGEREF _Toc148969282 \h </w:instrText>
          </w:r>
          <w:r>
            <w:fldChar w:fldCharType="separate"/>
          </w:r>
          <w:r>
            <w:t>9</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"_Toc148969283" </w:instrText>
          </w:r>
          <w:r>
            <w:fldChar w:fldCharType="separate"/>
          </w:r>
          <w:r>
            <w:rPr>
              <w:rStyle w:val="24"/>
            </w:rPr>
            <w:t>(六) 华北华东营收占比分别较大，西南华南营收增长较快</w:t>
          </w:r>
          <w:r>
            <w:tab/>
          </w:r>
          <w:r>
            <w:fldChar w:fldCharType="begin"/>
          </w:r>
          <w:r>
            <w:instrText xml:space="preserve"> PAGEREF _Toc148969283 \h </w:instrText>
          </w:r>
          <w:r>
            <w:fldChar w:fldCharType="separate"/>
          </w:r>
          <w:r>
            <w:t>11</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"_Toc148969284" </w:instrText>
          </w:r>
          <w:r>
            <w:fldChar w:fldCharType="separate"/>
          </w:r>
          <w:r>
            <w:rPr>
              <w:rStyle w:val="24"/>
            </w:rPr>
            <w:t>(七) 退市格局常态化，优胜劣汰机制加速形成</w:t>
          </w:r>
          <w:r>
            <w:tab/>
          </w:r>
          <w:r>
            <w:fldChar w:fldCharType="begin"/>
          </w:r>
          <w:r>
            <w:instrText xml:space="preserve"> PAGEREF _Toc148969284 \h </w:instrText>
          </w:r>
          <w:r>
            <w:fldChar w:fldCharType="separate"/>
          </w:r>
          <w:r>
            <w:t>12</w:t>
          </w:r>
          <w:r>
            <w:fldChar w:fldCharType="end"/>
          </w:r>
          <w:r>
            <w:fldChar w:fldCharType="end"/>
          </w:r>
        </w:p>
        <w:p>
          <w:pPr>
            <w:pStyle w:val="15"/>
            <w:rPr>
              <w:rFonts w:eastAsiaTheme="minorEastAsia"/>
              <w:b w:val="0"/>
              <w14:ligatures w14:val="standardContextual"/>
            </w:rPr>
          </w:pPr>
          <w:r>
            <w:fldChar w:fldCharType="begin"/>
          </w:r>
          <w:r>
            <w:instrText xml:space="preserve"> HYPERLINK \l "_Toc148969285" </w:instrText>
          </w:r>
          <w:r>
            <w:fldChar w:fldCharType="separate"/>
          </w:r>
          <w:r>
            <w:rPr>
              <w:rStyle w:val="24"/>
              <w:rFonts w:ascii="宋体" w:hAnsi="宋体" w:cstheme="majorHAnsi"/>
            </w:rPr>
            <w:t>三、 2023年上半年度A股上市公司发展中的困难</w:t>
          </w:r>
          <w:r>
            <w:tab/>
          </w:r>
          <w:r>
            <w:fldChar w:fldCharType="begin"/>
          </w:r>
          <w:r>
            <w:instrText xml:space="preserve"> PAGEREF _Toc148969285 \h </w:instrText>
          </w:r>
          <w:r>
            <w:fldChar w:fldCharType="separate"/>
          </w:r>
          <w:r>
            <w:t>14</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"_Toc148969286" </w:instrText>
          </w:r>
          <w:r>
            <w:fldChar w:fldCharType="separate"/>
          </w:r>
          <w:r>
            <w:rPr>
              <w:rStyle w:val="24"/>
            </w:rPr>
            <w:t>(一) 创收增长放缓，创利能力两极化态势延续</w:t>
          </w:r>
          <w:r>
            <w:tab/>
          </w:r>
          <w:r>
            <w:fldChar w:fldCharType="begin"/>
          </w:r>
          <w:r>
            <w:instrText xml:space="preserve"> PAGEREF _Toc148969286 \h </w:instrText>
          </w:r>
          <w:r>
            <w:fldChar w:fldCharType="separate"/>
          </w:r>
          <w:r>
            <w:t>14</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"_Toc148969287" </w:instrText>
          </w:r>
          <w:r>
            <w:fldChar w:fldCharType="separate"/>
          </w:r>
          <w:r>
            <w:rPr>
              <w:rStyle w:val="24"/>
            </w:rPr>
            <w:t>(二) 国有控股上市公司净利略有下滑，民营企业需提质增效共同发展</w:t>
          </w:r>
          <w:r>
            <w:tab/>
          </w:r>
          <w:r>
            <w:fldChar w:fldCharType="begin"/>
          </w:r>
          <w:r>
            <w:instrText xml:space="preserve"> PAGEREF _Toc148969287 \h </w:instrText>
          </w:r>
          <w:r>
            <w:fldChar w:fldCharType="separate"/>
          </w:r>
          <w:r>
            <w:t>16</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"_Toc148969288" </w:instrText>
          </w:r>
          <w:r>
            <w:fldChar w:fldCharType="separate"/>
          </w:r>
          <w:r>
            <w:rPr>
              <w:rStyle w:val="24"/>
            </w:rPr>
            <w:t>(三) 中小市值公司增长承压较大，仍需增强企业发展的韧性</w:t>
          </w:r>
          <w:r>
            <w:tab/>
          </w:r>
          <w:r>
            <w:fldChar w:fldCharType="begin"/>
          </w:r>
          <w:r>
            <w:instrText xml:space="preserve"> PAGEREF _Toc148969288 \h </w:instrText>
          </w:r>
          <w:r>
            <w:fldChar w:fldCharType="separate"/>
          </w:r>
          <w:r>
            <w:t>17</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"_Toc148969289" </w:instrText>
          </w:r>
          <w:r>
            <w:fldChar w:fldCharType="separate"/>
          </w:r>
          <w:r>
            <w:rPr>
              <w:rStyle w:val="24"/>
            </w:rPr>
            <w:t>(四) 超六成通过五套标准上市药企仍未盈利，需加快产品研发进程尽快实现盈利增长</w:t>
          </w:r>
          <w:r>
            <w:tab/>
          </w:r>
          <w:r>
            <w:fldChar w:fldCharType="begin"/>
          </w:r>
          <w:r>
            <w:instrText xml:space="preserve"> PAGEREF _Toc148969289 \h </w:instrText>
          </w:r>
          <w:r>
            <w:fldChar w:fldCharType="separate"/>
          </w:r>
          <w:r>
            <w:t>19</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"_Toc148969290" </w:instrText>
          </w:r>
          <w:r>
            <w:fldChar w:fldCharType="separate"/>
          </w:r>
          <w:r>
            <w:rPr>
              <w:rStyle w:val="24"/>
            </w:rPr>
            <w:t>(五) 东北地区净利润下滑明显，产业转型是未来发展的重要方向</w:t>
          </w:r>
          <w:r>
            <w:tab/>
          </w:r>
          <w:r>
            <w:fldChar w:fldCharType="begin"/>
          </w:r>
          <w:r>
            <w:instrText xml:space="preserve"> PAGEREF _Toc148969290 \h </w:instrText>
          </w:r>
          <w:r>
            <w:fldChar w:fldCharType="separate"/>
          </w:r>
          <w:r>
            <w:t>20</w:t>
          </w:r>
          <w:r>
            <w:fldChar w:fldCharType="end"/>
          </w:r>
          <w:r>
            <w:fldChar w:fldCharType="end"/>
          </w:r>
        </w:p>
        <w:p>
          <w:pPr>
            <w:pStyle w:val="15"/>
            <w:rPr>
              <w:rFonts w:eastAsiaTheme="minorEastAsia"/>
              <w:b w:val="0"/>
              <w14:ligatures w14:val="standardContextual"/>
            </w:rPr>
          </w:pPr>
          <w:r>
            <w:fldChar w:fldCharType="begin"/>
          </w:r>
          <w:r>
            <w:instrText xml:space="preserve"> HYPERLINK \l "_Toc148969291" </w:instrText>
          </w:r>
          <w:r>
            <w:fldChar w:fldCharType="separate"/>
          </w:r>
          <w:r>
            <w:rPr>
              <w:rStyle w:val="24"/>
              <w:rFonts w:ascii="宋体" w:hAnsi="宋体" w:cstheme="majorHAnsi"/>
            </w:rPr>
            <w:t>四、 促进A股上市公司未来稳健发展的建议</w:t>
          </w:r>
          <w:r>
            <w:tab/>
          </w:r>
          <w:r>
            <w:fldChar w:fldCharType="begin"/>
          </w:r>
          <w:r>
            <w:instrText xml:space="preserve"> PAGEREF _Toc148969291 \h </w:instrText>
          </w:r>
          <w:r>
            <w:fldChar w:fldCharType="separate"/>
          </w:r>
          <w:r>
            <w:t>22</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"_Toc148969292" </w:instrText>
          </w:r>
          <w:r>
            <w:fldChar w:fldCharType="separate"/>
          </w:r>
          <w:r>
            <w:rPr>
              <w:rStyle w:val="24"/>
            </w:rPr>
            <w:t>(一) 抓住“基本盘”，通过政策和金融促进发展战略落地</w:t>
          </w:r>
          <w:r>
            <w:tab/>
          </w:r>
          <w:r>
            <w:fldChar w:fldCharType="begin"/>
          </w:r>
          <w:r>
            <w:instrText xml:space="preserve"> PAGEREF _Toc148969292 \h </w:instrText>
          </w:r>
          <w:r>
            <w:fldChar w:fldCharType="separate"/>
          </w:r>
          <w:r>
            <w:t>22</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"_Toc148969293" </w:instrText>
          </w:r>
          <w:r>
            <w:fldChar w:fldCharType="separate"/>
          </w:r>
          <w:r>
            <w:rPr>
              <w:rStyle w:val="24"/>
            </w:rPr>
            <w:t>(二) 促进国有公司与民营公司协同发展，共筑A股市场新格局</w:t>
          </w:r>
          <w:r>
            <w:tab/>
          </w:r>
          <w:r>
            <w:fldChar w:fldCharType="begin"/>
          </w:r>
          <w:r>
            <w:instrText xml:space="preserve"> PAGEREF _Toc148969293 \h </w:instrText>
          </w:r>
          <w:r>
            <w:fldChar w:fldCharType="separate"/>
          </w:r>
          <w:r>
            <w:t>23</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"_Toc148969294" </w:instrText>
          </w:r>
          <w:r>
            <w:fldChar w:fldCharType="separate"/>
          </w:r>
          <w:r>
            <w:rPr>
              <w:rStyle w:val="24"/>
            </w:rPr>
            <w:t>(三) 抓两头促中间，提升A股上市公司整体质量</w:t>
          </w:r>
          <w:r>
            <w:tab/>
          </w:r>
          <w:r>
            <w:fldChar w:fldCharType="begin"/>
          </w:r>
          <w:r>
            <w:instrText xml:space="preserve"> PAGEREF _Toc148969294 \h </w:instrText>
          </w:r>
          <w:r>
            <w:fldChar w:fldCharType="separate"/>
          </w:r>
          <w:r>
            <w:t>23</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"_Toc148969295" </w:instrText>
          </w:r>
          <w:r>
            <w:fldChar w:fldCharType="separate"/>
          </w:r>
          <w:r>
            <w:rPr>
              <w:rStyle w:val="24"/>
            </w:rPr>
            <w:t>(四) 重视ESG评级，全面提升上市公司治理水平</w:t>
          </w:r>
          <w:r>
            <w:tab/>
          </w:r>
          <w:r>
            <w:fldChar w:fldCharType="begin"/>
          </w:r>
          <w:r>
            <w:instrText xml:space="preserve"> PAGEREF _Toc148969295 \h </w:instrText>
          </w:r>
          <w:r>
            <w:fldChar w:fldCharType="separate"/>
          </w:r>
          <w:r>
            <w:t>24</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"_Toc148969296" </w:instrText>
          </w:r>
          <w:r>
            <w:fldChar w:fldCharType="separate"/>
          </w:r>
          <w:r>
            <w:rPr>
              <w:rStyle w:val="24"/>
            </w:rPr>
            <w:t>(五) 以东北地区为试验田，把上市公司发展与国企改革紧密结合</w:t>
          </w:r>
          <w:r>
            <w:tab/>
          </w:r>
          <w:r>
            <w:fldChar w:fldCharType="begin"/>
          </w:r>
          <w:r>
            <w:instrText xml:space="preserve"> PAGEREF _Toc148969296 \h </w:instrText>
          </w:r>
          <w:r>
            <w:fldChar w:fldCharType="separate"/>
          </w:r>
          <w:r>
            <w:t>25</w:t>
          </w:r>
          <w:r>
            <w:fldChar w:fldCharType="end"/>
          </w:r>
          <w:r>
            <w:fldChar w:fldCharType="end"/>
          </w:r>
        </w:p>
        <w:p>
          <w:pPr>
            <w:pStyle w:val="9"/>
            <w:rPr>
              <w:rFonts w:eastAsiaTheme="minorEastAsia"/>
              <w:sz w:val="21"/>
              <w14:ligatures w14:val="standardContextual"/>
            </w:rPr>
          </w:pPr>
          <w:r>
            <w:fldChar w:fldCharType="begin"/>
          </w:r>
          <w:r>
            <w:instrText xml:space="preserve"> HYPERLINK \l "_Toc148969297" </w:instrText>
          </w:r>
          <w:r>
            <w:fldChar w:fldCharType="separate"/>
          </w:r>
          <w:r>
            <w:rPr>
              <w:rStyle w:val="24"/>
            </w:rPr>
            <w:t>(六) 持续完善营商环境，为上市公司发展保驾护航</w:t>
          </w:r>
          <w:r>
            <w:tab/>
          </w:r>
          <w:r>
            <w:fldChar w:fldCharType="begin"/>
          </w:r>
          <w:r>
            <w:instrText xml:space="preserve"> PAGEREF _Toc148969297 \h </w:instrText>
          </w:r>
          <w:r>
            <w:fldChar w:fldCharType="separate"/>
          </w:r>
          <w:r>
            <w:t>25</w:t>
          </w:r>
          <w:r>
            <w:fldChar w:fldCharType="end"/>
          </w:r>
          <w:r>
            <w:fldChar w:fldCharType="end"/>
          </w:r>
        </w:p>
        <w:p>
          <w:pPr>
            <w:rPr>
              <w:rFonts w:ascii="宋体" w:hAnsi="宋体" w:eastAsia="宋体" w:cstheme="majorHAnsi"/>
            </w:rPr>
          </w:pPr>
          <w:r>
            <w:rPr>
              <w:rFonts w:ascii="宋体" w:hAnsi="宋体" w:eastAsia="宋体" w:cstheme="majorHAnsi"/>
            </w:rPr>
            <w:fldChar w:fldCharType="end"/>
          </w:r>
        </w:p>
      </w:sdtContent>
    </w:sdt>
    <w:p>
      <w:pPr>
        <w:widowControl/>
        <w:spacing w:line="240" w:lineRule="auto"/>
        <w:ind w:firstLine="0" w:firstLineChars="0"/>
        <w:jc w:val="left"/>
        <w:rPr>
          <w:rFonts w:ascii="宋体" w:hAnsi="宋体" w:eastAsia="宋体" w:cstheme="majorHAnsi"/>
          <w:b/>
          <w:bCs/>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pPr>
    </w:p>
    <w:p>
      <w:pPr>
        <w:pStyle w:val="3"/>
        <w:rPr>
          <w:rFonts w:ascii="宋体" w:hAnsi="宋体" w:eastAsia="宋体" w:cstheme="majorHAnsi"/>
        </w:rPr>
      </w:pPr>
      <w:bookmarkStart w:id="0" w:name="_Toc146208945"/>
      <w:bookmarkStart w:id="1" w:name="_Toc145323799"/>
      <w:bookmarkStart w:id="2" w:name="_Toc147674745"/>
      <w:bookmarkStart w:id="3" w:name="_Toc148969271"/>
      <w:r>
        <w:rPr>
          <w:rFonts w:ascii="宋体" w:hAnsi="宋体" w:eastAsia="宋体" w:cstheme="majorHAnsi"/>
        </w:rPr>
        <w:t>2023年上半年</w:t>
      </w:r>
      <w:r>
        <w:rPr>
          <w:rFonts w:hint="eastAsia" w:ascii="宋体" w:hAnsi="宋体" w:eastAsia="宋体" w:cstheme="majorHAnsi"/>
        </w:rPr>
        <w:t>A股上市公司</w:t>
      </w:r>
      <w:bookmarkEnd w:id="0"/>
      <w:bookmarkEnd w:id="1"/>
      <w:r>
        <w:rPr>
          <w:rFonts w:hint="eastAsia" w:ascii="宋体" w:hAnsi="宋体" w:eastAsia="宋体" w:cstheme="majorHAnsi"/>
        </w:rPr>
        <w:t>发展概述</w:t>
      </w:r>
      <w:bookmarkEnd w:id="2"/>
      <w:bookmarkEnd w:id="3"/>
    </w:p>
    <w:p>
      <w:pPr>
        <w:ind w:firstLine="422"/>
        <w:rPr>
          <w:rFonts w:ascii="宋体" w:hAnsi="宋体" w:eastAsia="宋体" w:cstheme="majorHAnsi"/>
        </w:rPr>
      </w:pPr>
      <w:r>
        <w:rPr>
          <w:rFonts w:ascii="宋体" w:hAnsi="宋体" w:eastAsia="宋体" w:cstheme="majorHAnsi"/>
          <w:b/>
          <w:bCs/>
        </w:rPr>
        <w:t>2023年上半年，</w:t>
      </w:r>
      <w:r>
        <w:rPr>
          <w:rFonts w:ascii="宋体" w:hAnsi="宋体" w:eastAsia="宋体" w:cstheme="majorHAnsi"/>
        </w:rPr>
        <w:t>国内生产总值593034亿元，按不变价格计算，同比增长5.5%，全国居民人均可支配收入19672元，扣除价格因素实际增长5.8%。社会消费品零售总额同比增长8.2%，较一季度加快2.4个百分点</w:t>
      </w:r>
      <w:r>
        <w:rPr>
          <w:rFonts w:hint="eastAsia" w:ascii="宋体" w:hAnsi="宋体" w:eastAsia="宋体" w:cstheme="majorHAnsi"/>
        </w:rPr>
        <w:t>；</w:t>
      </w:r>
      <w:r>
        <w:rPr>
          <w:rFonts w:ascii="宋体" w:hAnsi="宋体" w:eastAsia="宋体" w:cstheme="majorHAnsi"/>
        </w:rPr>
        <w:t>全国固定资产投资（不含农户）243113亿元，同比增长3.8%。居民消费价格指数（CPI）同比上涨0.7%，工业生产者出厂价格指数（PPI）同比下降3.1%。财政部发布的财政收支“半年报”显示，上半年，全国一般公共预算收入119203亿元，同比增长13.3%。</w:t>
      </w:r>
      <w:r>
        <w:rPr>
          <w:rFonts w:hint="eastAsia" w:ascii="宋体" w:hAnsi="宋体" w:eastAsia="宋体" w:cstheme="majorHAnsi"/>
        </w:rPr>
        <w:t>在宏观经济增长中，A股上市公司发挥了基本盘的重要作用。</w:t>
      </w:r>
    </w:p>
    <w:p>
      <w:pPr>
        <w:pStyle w:val="4"/>
      </w:pPr>
      <w:bookmarkStart w:id="4" w:name="_Toc148964882"/>
      <w:bookmarkEnd w:id="4"/>
      <w:bookmarkStart w:id="5" w:name="_Toc148898903"/>
      <w:bookmarkEnd w:id="5"/>
      <w:bookmarkStart w:id="6" w:name="_Toc148965392"/>
      <w:bookmarkEnd w:id="6"/>
      <w:bookmarkStart w:id="7" w:name="_Toc148898403"/>
      <w:bookmarkEnd w:id="7"/>
      <w:bookmarkStart w:id="8" w:name="_Toc148909732"/>
      <w:bookmarkEnd w:id="8"/>
      <w:bookmarkStart w:id="9" w:name="_Toc148964627"/>
      <w:bookmarkEnd w:id="9"/>
      <w:bookmarkStart w:id="10" w:name="_Toc148958649"/>
      <w:bookmarkEnd w:id="10"/>
      <w:bookmarkStart w:id="11" w:name="_Toc148909962"/>
      <w:bookmarkEnd w:id="11"/>
      <w:bookmarkStart w:id="12" w:name="_Toc148910217"/>
      <w:bookmarkEnd w:id="12"/>
      <w:bookmarkStart w:id="13" w:name="_Toc148965137"/>
      <w:bookmarkEnd w:id="13"/>
      <w:bookmarkStart w:id="14" w:name="_Toc148520479"/>
      <w:bookmarkEnd w:id="14"/>
      <w:bookmarkStart w:id="15" w:name="_Toc146208947"/>
      <w:bookmarkStart w:id="16" w:name="_Toc147674746"/>
      <w:bookmarkStart w:id="17" w:name="_Toc148969272"/>
      <w:r>
        <w:t>2023年上半年上市公司总体情况</w:t>
      </w:r>
      <w:bookmarkEnd w:id="15"/>
      <w:bookmarkEnd w:id="16"/>
      <w:bookmarkEnd w:id="17"/>
    </w:p>
    <w:p>
      <w:pPr>
        <w:rPr>
          <w:rFonts w:ascii="宋体" w:hAnsi="宋体" w:eastAsia="宋体" w:cs="宋体"/>
          <w:szCs w:val="21"/>
          <w:lang w:bidi="ar"/>
        </w:rPr>
      </w:pPr>
      <w:r>
        <w:rPr>
          <w:rFonts w:hint="eastAsia" w:ascii="宋体" w:hAnsi="宋体" w:eastAsia="宋体" w:cs="Times New Roman"/>
          <w:szCs w:val="21"/>
          <w:lang w:bidi="ar"/>
        </w:rPr>
        <w:t>截止</w:t>
      </w:r>
      <w:r>
        <w:rPr>
          <w:rFonts w:ascii="宋体" w:hAnsi="宋体" w:eastAsia="宋体" w:cs="Times New Roman"/>
          <w:szCs w:val="21"/>
          <w:lang w:bidi="ar"/>
        </w:rPr>
        <w:t>2023</w:t>
      </w:r>
      <w:r>
        <w:rPr>
          <w:rFonts w:hint="eastAsia" w:ascii="宋体" w:hAnsi="宋体" w:eastAsia="宋体" w:cs="宋体"/>
          <w:szCs w:val="21"/>
          <w:lang w:bidi="ar"/>
        </w:rPr>
        <w:t>年</w:t>
      </w:r>
      <w:r>
        <w:rPr>
          <w:rFonts w:ascii="宋体" w:hAnsi="宋体" w:eastAsia="宋体" w:cs="Times New Roman"/>
          <w:szCs w:val="21"/>
          <w:lang w:bidi="ar"/>
        </w:rPr>
        <w:t>6</w:t>
      </w:r>
      <w:r>
        <w:rPr>
          <w:rFonts w:hint="eastAsia" w:ascii="宋体" w:hAnsi="宋体" w:eastAsia="宋体" w:cs="宋体"/>
          <w:szCs w:val="21"/>
          <w:lang w:bidi="ar"/>
        </w:rPr>
        <w:t>月</w:t>
      </w:r>
      <w:r>
        <w:rPr>
          <w:rFonts w:ascii="宋体" w:hAnsi="宋体" w:eastAsia="宋体" w:cs="Times New Roman"/>
          <w:szCs w:val="21"/>
          <w:lang w:bidi="ar"/>
        </w:rPr>
        <w:t>30</w:t>
      </w:r>
      <w:r>
        <w:rPr>
          <w:rFonts w:hint="eastAsia" w:ascii="宋体" w:hAnsi="宋体" w:eastAsia="宋体" w:cs="宋体"/>
          <w:szCs w:val="21"/>
          <w:lang w:bidi="ar"/>
        </w:rPr>
        <w:t>日，已上市的全部</w:t>
      </w:r>
      <w:r>
        <w:rPr>
          <w:rFonts w:ascii="宋体" w:hAnsi="宋体" w:eastAsia="宋体" w:cs="Times New Roman"/>
          <w:szCs w:val="21"/>
          <w:lang w:bidi="ar"/>
        </w:rPr>
        <w:t>A</w:t>
      </w:r>
      <w:r>
        <w:rPr>
          <w:rFonts w:hint="eastAsia" w:ascii="宋体" w:hAnsi="宋体" w:eastAsia="宋体" w:cs="宋体"/>
          <w:szCs w:val="21"/>
          <w:lang w:bidi="ar"/>
        </w:rPr>
        <w:t>股上市公司作为统计样本（统计口径不含已退市公司），</w:t>
      </w:r>
      <w:r>
        <w:rPr>
          <w:rFonts w:ascii="宋体" w:hAnsi="宋体" w:eastAsia="宋体" w:cs="Times New Roman"/>
          <w:szCs w:val="21"/>
          <w:lang w:bidi="ar"/>
        </w:rPr>
        <w:t>A</w:t>
      </w:r>
      <w:r>
        <w:rPr>
          <w:rFonts w:hint="eastAsia" w:ascii="宋体" w:hAnsi="宋体" w:eastAsia="宋体" w:cs="宋体"/>
          <w:szCs w:val="21"/>
          <w:lang w:bidi="ar"/>
        </w:rPr>
        <w:t>股市场上市公司数量总计</w:t>
      </w:r>
      <w:r>
        <w:rPr>
          <w:rFonts w:ascii="宋体" w:hAnsi="宋体" w:eastAsia="宋体" w:cs="Times New Roman"/>
          <w:szCs w:val="21"/>
          <w:lang w:bidi="ar"/>
        </w:rPr>
        <w:t>5196</w:t>
      </w:r>
      <w:r>
        <w:rPr>
          <w:rFonts w:hint="eastAsia" w:ascii="宋体" w:hAnsi="宋体" w:eastAsia="宋体" w:cs="宋体"/>
          <w:szCs w:val="21"/>
          <w:lang w:bidi="ar"/>
        </w:rPr>
        <w:t>家，</w:t>
      </w:r>
      <w:r>
        <w:rPr>
          <w:rFonts w:ascii="宋体" w:hAnsi="宋体" w:eastAsia="宋体" w:cs="Times New Roman"/>
          <w:szCs w:val="21"/>
          <w:lang w:bidi="ar"/>
        </w:rPr>
        <w:t>IPO</w:t>
      </w:r>
      <w:r>
        <w:rPr>
          <w:rFonts w:hint="eastAsia" w:ascii="宋体" w:hAnsi="宋体" w:eastAsia="宋体" w:cs="宋体"/>
          <w:szCs w:val="21"/>
          <w:lang w:bidi="ar"/>
        </w:rPr>
        <w:t>公司数量</w:t>
      </w:r>
      <w:r>
        <w:rPr>
          <w:rFonts w:ascii="宋体" w:hAnsi="宋体" w:eastAsia="宋体" w:cs="宋体"/>
          <w:szCs w:val="21"/>
          <w:lang w:bidi="ar"/>
        </w:rPr>
        <w:t>共</w:t>
      </w:r>
      <w:r>
        <w:rPr>
          <w:rFonts w:ascii="宋体" w:hAnsi="宋体" w:eastAsia="宋体" w:cs="Times New Roman"/>
          <w:szCs w:val="21"/>
          <w:lang w:bidi="ar"/>
        </w:rPr>
        <w:t>173</w:t>
      </w:r>
      <w:r>
        <w:rPr>
          <w:rFonts w:hint="eastAsia" w:ascii="宋体" w:hAnsi="宋体" w:eastAsia="宋体" w:cs="宋体"/>
          <w:szCs w:val="21"/>
          <w:lang w:bidi="ar"/>
        </w:rPr>
        <w:t>家。截至</w:t>
      </w:r>
      <w:r>
        <w:rPr>
          <w:rFonts w:ascii="宋体" w:hAnsi="宋体" w:eastAsia="宋体" w:cs="Times New Roman"/>
          <w:szCs w:val="21"/>
          <w:lang w:bidi="ar"/>
        </w:rPr>
        <w:t>2023</w:t>
      </w:r>
      <w:r>
        <w:rPr>
          <w:rFonts w:hint="eastAsia" w:ascii="宋体" w:hAnsi="宋体" w:eastAsia="宋体" w:cs="宋体"/>
          <w:szCs w:val="21"/>
          <w:lang w:bidi="ar"/>
        </w:rPr>
        <w:t>年</w:t>
      </w:r>
      <w:r>
        <w:rPr>
          <w:rFonts w:ascii="宋体" w:hAnsi="宋体" w:eastAsia="宋体" w:cs="Times New Roman"/>
          <w:szCs w:val="21"/>
          <w:lang w:bidi="ar"/>
        </w:rPr>
        <w:t>8</w:t>
      </w:r>
      <w:r>
        <w:rPr>
          <w:rFonts w:hint="eastAsia" w:ascii="宋体" w:hAnsi="宋体" w:eastAsia="宋体" w:cs="宋体"/>
          <w:szCs w:val="21"/>
          <w:lang w:bidi="ar"/>
        </w:rPr>
        <w:t>月</w:t>
      </w:r>
      <w:r>
        <w:rPr>
          <w:rFonts w:ascii="宋体" w:hAnsi="宋体" w:eastAsia="宋体" w:cs="Times New Roman"/>
          <w:szCs w:val="21"/>
          <w:lang w:bidi="ar"/>
        </w:rPr>
        <w:t>31</w:t>
      </w:r>
      <w:r>
        <w:rPr>
          <w:rFonts w:hint="eastAsia" w:ascii="宋体" w:hAnsi="宋体" w:eastAsia="宋体" w:cs="宋体"/>
          <w:szCs w:val="21"/>
          <w:lang w:bidi="ar"/>
        </w:rPr>
        <w:t>日，除经纬纺机（</w:t>
      </w:r>
      <w:r>
        <w:rPr>
          <w:rFonts w:ascii="宋体" w:hAnsi="宋体" w:eastAsia="宋体" w:cs="Times New Roman"/>
          <w:szCs w:val="21"/>
          <w:lang w:bidi="ar"/>
        </w:rPr>
        <w:t>000666.SZ</w:t>
      </w:r>
      <w:r>
        <w:rPr>
          <w:rFonts w:hint="eastAsia" w:ascii="宋体" w:hAnsi="宋体" w:eastAsia="宋体" w:cs="Times New Roman"/>
          <w:szCs w:val="21"/>
          <w:lang w:bidi="ar"/>
        </w:rPr>
        <w:t>，退市</w:t>
      </w:r>
      <w:r>
        <w:rPr>
          <w:rFonts w:hint="eastAsia" w:ascii="宋体" w:hAnsi="宋体" w:eastAsia="宋体" w:cs="宋体"/>
          <w:szCs w:val="21"/>
          <w:lang w:bidi="ar"/>
        </w:rPr>
        <w:t>）以外，共</w:t>
      </w:r>
      <w:r>
        <w:rPr>
          <w:rFonts w:ascii="宋体" w:hAnsi="宋体" w:eastAsia="宋体" w:cs="Times New Roman"/>
          <w:szCs w:val="21"/>
          <w:lang w:bidi="ar"/>
        </w:rPr>
        <w:t>5195</w:t>
      </w:r>
      <w:r>
        <w:rPr>
          <w:rFonts w:hint="eastAsia" w:ascii="宋体" w:hAnsi="宋体" w:eastAsia="宋体" w:cs="宋体"/>
          <w:szCs w:val="21"/>
          <w:lang w:bidi="ar"/>
        </w:rPr>
        <w:t>家</w:t>
      </w:r>
      <w:r>
        <w:rPr>
          <w:rFonts w:ascii="宋体" w:hAnsi="宋体" w:eastAsia="宋体" w:cs="Times New Roman"/>
          <w:szCs w:val="21"/>
          <w:lang w:bidi="ar"/>
        </w:rPr>
        <w:t>A</w:t>
      </w:r>
      <w:r>
        <w:rPr>
          <w:rFonts w:hint="eastAsia" w:ascii="宋体" w:hAnsi="宋体" w:eastAsia="宋体" w:cs="宋体"/>
          <w:szCs w:val="21"/>
          <w:lang w:bidi="ar"/>
        </w:rPr>
        <w:t>股上市公司披露</w:t>
      </w:r>
      <w:r>
        <w:rPr>
          <w:rFonts w:ascii="宋体" w:hAnsi="宋体" w:eastAsia="宋体" w:cs="Times New Roman"/>
          <w:szCs w:val="21"/>
          <w:lang w:bidi="ar"/>
        </w:rPr>
        <w:t>2023</w:t>
      </w:r>
      <w:r>
        <w:rPr>
          <w:rFonts w:hint="eastAsia" w:ascii="宋体" w:hAnsi="宋体" w:eastAsia="宋体" w:cs="宋体"/>
          <w:szCs w:val="21"/>
          <w:lang w:bidi="ar"/>
        </w:rPr>
        <w:t>年半年度报告，</w:t>
      </w:r>
      <w:r>
        <w:rPr>
          <w:rFonts w:ascii="宋体" w:hAnsi="宋体" w:eastAsia="宋体" w:cs="宋体"/>
          <w:szCs w:val="21"/>
          <w:lang w:bidi="ar"/>
        </w:rPr>
        <w:t>总市值合计86.58万亿，同比下降0.26%；</w:t>
      </w:r>
      <w:r>
        <w:rPr>
          <w:rFonts w:hint="eastAsia" w:ascii="宋体" w:hAnsi="宋体" w:eastAsia="宋体" w:cs="宋体"/>
          <w:szCs w:val="21"/>
          <w:lang w:bidi="ar"/>
        </w:rPr>
        <w:t>总营收</w:t>
      </w:r>
      <w:r>
        <w:rPr>
          <w:rFonts w:ascii="宋体" w:hAnsi="宋体" w:eastAsia="宋体" w:cs="Times New Roman"/>
          <w:szCs w:val="21"/>
          <w:lang w:bidi="ar"/>
        </w:rPr>
        <w:t>352719.66</w:t>
      </w:r>
      <w:r>
        <w:rPr>
          <w:rFonts w:hint="eastAsia" w:ascii="宋体" w:hAnsi="宋体" w:eastAsia="宋体" w:cs="宋体"/>
          <w:szCs w:val="21"/>
          <w:lang w:bidi="ar"/>
        </w:rPr>
        <w:t>亿元，同比增长</w:t>
      </w:r>
      <w:r>
        <w:rPr>
          <w:rFonts w:ascii="宋体" w:hAnsi="宋体" w:eastAsia="宋体" w:cs="Times New Roman"/>
          <w:szCs w:val="21"/>
          <w:lang w:bidi="ar"/>
        </w:rPr>
        <w:t>1.62%</w:t>
      </w:r>
      <w:r>
        <w:rPr>
          <w:rFonts w:hint="eastAsia" w:ascii="宋体" w:hAnsi="宋体" w:eastAsia="宋体" w:cs="宋体"/>
          <w:szCs w:val="21"/>
          <w:lang w:bidi="ar"/>
        </w:rPr>
        <w:t>；总净利</w:t>
      </w:r>
      <w:r>
        <w:rPr>
          <w:rFonts w:ascii="宋体" w:hAnsi="宋体" w:eastAsia="宋体" w:cs="Times New Roman"/>
          <w:szCs w:val="21"/>
          <w:lang w:bidi="ar"/>
        </w:rPr>
        <w:t>29464.32</w:t>
      </w:r>
      <w:r>
        <w:rPr>
          <w:rFonts w:hint="eastAsia" w:ascii="宋体" w:hAnsi="宋体" w:eastAsia="宋体" w:cs="宋体"/>
          <w:szCs w:val="21"/>
          <w:lang w:bidi="ar"/>
        </w:rPr>
        <w:t>亿元，同比下降</w:t>
      </w:r>
      <w:r>
        <w:rPr>
          <w:rFonts w:ascii="宋体" w:hAnsi="宋体" w:eastAsia="宋体" w:cs="Times New Roman"/>
          <w:szCs w:val="21"/>
          <w:lang w:bidi="ar"/>
        </w:rPr>
        <w:t>3.28%；支付的各项税费合计25957.09</w:t>
      </w:r>
      <w:r>
        <w:rPr>
          <w:rFonts w:ascii="宋体" w:hAnsi="宋体" w:eastAsia="宋体" w:cs="宋体"/>
          <w:szCs w:val="21"/>
          <w:lang w:bidi="ar"/>
        </w:rPr>
        <w:t>亿元，同比下降4.21%；研发支出合计7060.61亿元，同比增长11.03%</w:t>
      </w:r>
      <w:r>
        <w:rPr>
          <w:rFonts w:hint="eastAsia" w:ascii="宋体" w:hAnsi="宋体" w:eastAsia="宋体" w:cs="宋体"/>
          <w:szCs w:val="21"/>
          <w:lang w:bidi="ar"/>
        </w:rPr>
        <w:t>；创造的增加值总额为9.07万亿元，同比增长3</w:t>
      </w:r>
      <w:r>
        <w:rPr>
          <w:rFonts w:ascii="宋体" w:hAnsi="宋体" w:eastAsia="宋体" w:cs="宋体"/>
          <w:szCs w:val="21"/>
          <w:lang w:bidi="ar"/>
        </w:rPr>
        <w:t>.80%</w:t>
      </w:r>
      <w:r>
        <w:rPr>
          <w:rFonts w:hint="eastAsia" w:ascii="宋体" w:hAnsi="宋体" w:eastAsia="宋体" w:cs="宋体"/>
          <w:szCs w:val="21"/>
          <w:lang w:bidi="ar"/>
        </w:rPr>
        <w:t>，</w:t>
      </w:r>
      <w:r>
        <w:rPr>
          <w:rFonts w:ascii="宋体" w:hAnsi="宋体" w:eastAsia="宋体" w:cstheme="majorHAnsi"/>
        </w:rPr>
        <w:t>占全国</w:t>
      </w:r>
      <w:r>
        <w:rPr>
          <w:rFonts w:hint="eastAsia" w:ascii="宋体" w:hAnsi="宋体" w:eastAsia="宋体" w:cstheme="majorHAnsi"/>
        </w:rPr>
        <w:t>GDP</w:t>
      </w:r>
      <w:r>
        <w:rPr>
          <w:rFonts w:ascii="宋体" w:hAnsi="宋体" w:eastAsia="宋体" w:cstheme="majorHAnsi"/>
        </w:rPr>
        <w:t>的</w:t>
      </w:r>
      <w:r>
        <w:rPr>
          <w:rFonts w:hint="eastAsia" w:ascii="宋体" w:hAnsi="宋体" w:eastAsia="宋体" w:cstheme="majorHAnsi"/>
        </w:rPr>
        <w:t>比例为</w:t>
      </w:r>
      <w:r>
        <w:rPr>
          <w:rFonts w:ascii="宋体" w:hAnsi="宋体" w:eastAsia="宋体" w:cstheme="majorHAnsi"/>
        </w:rPr>
        <w:t>15.29%</w:t>
      </w:r>
      <w:r>
        <w:rPr>
          <w:rFonts w:ascii="宋体" w:hAnsi="宋体"/>
        </w:rPr>
        <w:t>。</w:t>
      </w:r>
    </w:p>
    <w:p>
      <w:pPr>
        <w:rPr>
          <w:rFonts w:ascii="宋体" w:hAnsi="宋体" w:eastAsia="宋体"/>
        </w:rPr>
      </w:pPr>
      <w:r>
        <w:rPr>
          <w:rFonts w:hint="eastAsia" w:ascii="宋体" w:hAnsi="宋体" w:eastAsia="宋体" w:cs="宋体"/>
          <w:szCs w:val="21"/>
          <w:lang w:bidi="ar"/>
        </w:rPr>
        <w:t>从四大</w:t>
      </w:r>
      <w:r>
        <w:rPr>
          <w:rFonts w:ascii="宋体" w:hAnsi="宋体" w:eastAsia="宋体" w:cs="宋体"/>
          <w:szCs w:val="21"/>
          <w:lang w:bidi="ar"/>
        </w:rPr>
        <w:t>版块的总体</w:t>
      </w:r>
      <w:r>
        <w:rPr>
          <w:rFonts w:hint="eastAsia" w:ascii="宋体" w:hAnsi="宋体" w:eastAsia="宋体" w:cs="宋体"/>
          <w:szCs w:val="21"/>
          <w:lang w:bidi="ar"/>
        </w:rPr>
        <w:t>分布</w:t>
      </w:r>
      <w:r>
        <w:rPr>
          <w:rFonts w:ascii="宋体" w:hAnsi="宋体" w:eastAsia="宋体" w:cs="宋体"/>
          <w:szCs w:val="21"/>
          <w:lang w:bidi="ar"/>
        </w:rPr>
        <w:t>情况上看</w:t>
      </w:r>
      <w:r>
        <w:rPr>
          <w:rFonts w:hint="eastAsia" w:ascii="宋体" w:hAnsi="宋体" w:eastAsia="宋体" w:cs="宋体"/>
          <w:szCs w:val="21"/>
          <w:lang w:bidi="ar"/>
        </w:rPr>
        <w:t>，主板、创业板、科创板、北交所上市公司数量分别为</w:t>
      </w:r>
      <w:r>
        <w:rPr>
          <w:rFonts w:ascii="宋体" w:hAnsi="宋体" w:eastAsia="宋体" w:cs="Times New Roman"/>
          <w:szCs w:val="21"/>
          <w:lang w:bidi="ar"/>
        </w:rPr>
        <w:t>3176</w:t>
      </w:r>
      <w:r>
        <w:rPr>
          <w:rFonts w:hint="eastAsia" w:ascii="宋体" w:hAnsi="宋体" w:eastAsia="宋体" w:cs="宋体"/>
          <w:szCs w:val="21"/>
          <w:lang w:bidi="ar"/>
        </w:rPr>
        <w:t>家、</w:t>
      </w:r>
      <w:r>
        <w:rPr>
          <w:rFonts w:ascii="宋体" w:hAnsi="宋体" w:eastAsia="宋体" w:cs="Times New Roman"/>
          <w:szCs w:val="21"/>
          <w:lang w:bidi="ar"/>
        </w:rPr>
        <w:t>1275</w:t>
      </w:r>
      <w:r>
        <w:rPr>
          <w:rFonts w:hint="eastAsia" w:ascii="宋体" w:hAnsi="宋体" w:eastAsia="宋体" w:cs="宋体"/>
          <w:szCs w:val="21"/>
          <w:lang w:bidi="ar"/>
        </w:rPr>
        <w:t>家、</w:t>
      </w:r>
      <w:r>
        <w:rPr>
          <w:rFonts w:ascii="宋体" w:hAnsi="宋体" w:eastAsia="宋体" w:cs="Times New Roman"/>
          <w:szCs w:val="21"/>
          <w:lang w:bidi="ar"/>
        </w:rPr>
        <w:t>540</w:t>
      </w:r>
      <w:r>
        <w:rPr>
          <w:rFonts w:hint="eastAsia" w:ascii="宋体" w:hAnsi="宋体" w:eastAsia="宋体" w:cs="宋体"/>
          <w:szCs w:val="21"/>
          <w:lang w:bidi="ar"/>
        </w:rPr>
        <w:t>家、</w:t>
      </w:r>
      <w:r>
        <w:rPr>
          <w:rFonts w:ascii="宋体" w:hAnsi="宋体" w:eastAsia="宋体" w:cs="Times New Roman"/>
          <w:szCs w:val="21"/>
          <w:lang w:bidi="ar"/>
        </w:rPr>
        <w:t>204</w:t>
      </w:r>
      <w:r>
        <w:rPr>
          <w:rFonts w:hint="eastAsia" w:ascii="宋体" w:hAnsi="宋体" w:eastAsia="宋体" w:cs="宋体"/>
          <w:szCs w:val="21"/>
          <w:lang w:bidi="ar"/>
        </w:rPr>
        <w:t>家，占比分别为</w:t>
      </w:r>
      <w:r>
        <w:rPr>
          <w:rFonts w:ascii="宋体" w:hAnsi="宋体" w:eastAsia="宋体" w:cs="Times New Roman"/>
          <w:szCs w:val="21"/>
          <w:lang w:bidi="ar"/>
        </w:rPr>
        <w:t>61.14%</w:t>
      </w:r>
      <w:r>
        <w:rPr>
          <w:rFonts w:hint="eastAsia" w:ascii="宋体" w:hAnsi="宋体" w:eastAsia="宋体" w:cs="宋体"/>
          <w:szCs w:val="21"/>
          <w:lang w:bidi="ar"/>
        </w:rPr>
        <w:t>、</w:t>
      </w:r>
      <w:r>
        <w:rPr>
          <w:rFonts w:ascii="宋体" w:hAnsi="宋体" w:eastAsia="宋体" w:cs="Times New Roman"/>
          <w:szCs w:val="21"/>
          <w:lang w:bidi="ar"/>
        </w:rPr>
        <w:t>24.54%</w:t>
      </w:r>
      <w:r>
        <w:rPr>
          <w:rFonts w:hint="eastAsia" w:ascii="宋体" w:hAnsi="宋体" w:eastAsia="宋体" w:cs="宋体"/>
          <w:szCs w:val="21"/>
          <w:lang w:bidi="ar"/>
        </w:rPr>
        <w:t>、</w:t>
      </w:r>
      <w:r>
        <w:rPr>
          <w:rFonts w:ascii="宋体" w:hAnsi="宋体" w:eastAsia="宋体" w:cs="Times New Roman"/>
          <w:szCs w:val="21"/>
          <w:lang w:bidi="ar"/>
        </w:rPr>
        <w:t>10.39%</w:t>
      </w:r>
      <w:r>
        <w:rPr>
          <w:rFonts w:hint="eastAsia" w:ascii="宋体" w:hAnsi="宋体" w:eastAsia="宋体" w:cs="宋体"/>
          <w:szCs w:val="21"/>
          <w:lang w:bidi="ar"/>
        </w:rPr>
        <w:t>和</w:t>
      </w:r>
      <w:r>
        <w:rPr>
          <w:rFonts w:ascii="宋体" w:hAnsi="宋体" w:eastAsia="宋体" w:cs="Times New Roman"/>
          <w:szCs w:val="21"/>
          <w:lang w:bidi="ar"/>
        </w:rPr>
        <w:t>3.93%</w:t>
      </w:r>
      <w:r>
        <w:rPr>
          <w:rFonts w:hint="eastAsia" w:ascii="宋体" w:hAnsi="宋体" w:eastAsia="宋体" w:cs="宋体"/>
          <w:szCs w:val="21"/>
          <w:lang w:bidi="ar"/>
        </w:rPr>
        <w:t>；市值规模分别为</w:t>
      </w:r>
      <w:r>
        <w:rPr>
          <w:rFonts w:ascii="宋体" w:hAnsi="宋体" w:eastAsia="宋体" w:cs="Times New Roman"/>
          <w:szCs w:val="21"/>
          <w:lang w:bidi="ar"/>
        </w:rPr>
        <w:t>68.48</w:t>
      </w:r>
      <w:r>
        <w:rPr>
          <w:rFonts w:hint="eastAsia" w:ascii="宋体" w:hAnsi="宋体" w:eastAsia="宋体" w:cs="宋体"/>
          <w:szCs w:val="21"/>
          <w:lang w:bidi="ar"/>
        </w:rPr>
        <w:t>万亿元、</w:t>
      </w:r>
      <w:r>
        <w:rPr>
          <w:rFonts w:ascii="宋体" w:hAnsi="宋体" w:eastAsia="宋体" w:cs="Times New Roman"/>
          <w:szCs w:val="21"/>
          <w:lang w:bidi="ar"/>
        </w:rPr>
        <w:t>11.54</w:t>
      </w:r>
      <w:r>
        <w:rPr>
          <w:rFonts w:hint="eastAsia" w:ascii="宋体" w:hAnsi="宋体" w:eastAsia="宋体" w:cs="宋体"/>
          <w:szCs w:val="21"/>
          <w:lang w:bidi="ar"/>
        </w:rPr>
        <w:t>万亿元、</w:t>
      </w:r>
      <w:r>
        <w:rPr>
          <w:rFonts w:ascii="宋体" w:hAnsi="宋体" w:eastAsia="宋体" w:cs="Times New Roman"/>
          <w:szCs w:val="21"/>
          <w:lang w:bidi="ar"/>
        </w:rPr>
        <w:t>6.31</w:t>
      </w:r>
      <w:r>
        <w:rPr>
          <w:rFonts w:hint="eastAsia" w:ascii="宋体" w:hAnsi="宋体" w:eastAsia="宋体" w:cs="宋体"/>
          <w:szCs w:val="21"/>
          <w:lang w:bidi="ar"/>
        </w:rPr>
        <w:t>万亿元和</w:t>
      </w:r>
      <w:r>
        <w:rPr>
          <w:rFonts w:ascii="宋体" w:hAnsi="宋体" w:eastAsia="宋体" w:cs="Times New Roman"/>
          <w:szCs w:val="21"/>
          <w:lang w:bidi="ar"/>
        </w:rPr>
        <w:t>0.24</w:t>
      </w:r>
      <w:r>
        <w:rPr>
          <w:rFonts w:hint="eastAsia" w:ascii="宋体" w:hAnsi="宋体" w:eastAsia="宋体" w:cs="宋体"/>
          <w:szCs w:val="21"/>
          <w:lang w:bidi="ar"/>
        </w:rPr>
        <w:t>万亿元，占比分别为</w:t>
      </w:r>
      <w:r>
        <w:rPr>
          <w:rFonts w:ascii="宋体" w:hAnsi="宋体" w:eastAsia="宋体" w:cs="Times New Roman"/>
          <w:szCs w:val="21"/>
          <w:lang w:bidi="ar"/>
        </w:rPr>
        <w:t>79.10%</w:t>
      </w:r>
      <w:r>
        <w:rPr>
          <w:rFonts w:hint="eastAsia" w:ascii="宋体" w:hAnsi="宋体" w:eastAsia="宋体" w:cs="宋体"/>
          <w:szCs w:val="21"/>
          <w:lang w:bidi="ar"/>
        </w:rPr>
        <w:t>、</w:t>
      </w:r>
      <w:r>
        <w:rPr>
          <w:rFonts w:ascii="宋体" w:hAnsi="宋体" w:eastAsia="宋体" w:cs="Times New Roman"/>
          <w:szCs w:val="21"/>
          <w:lang w:bidi="ar"/>
        </w:rPr>
        <w:t>13.33%</w:t>
      </w:r>
      <w:r>
        <w:rPr>
          <w:rFonts w:hint="eastAsia" w:ascii="宋体" w:hAnsi="宋体" w:eastAsia="宋体" w:cs="宋体"/>
          <w:szCs w:val="21"/>
          <w:lang w:bidi="ar"/>
        </w:rPr>
        <w:t>、</w:t>
      </w:r>
      <w:r>
        <w:rPr>
          <w:rFonts w:ascii="宋体" w:hAnsi="宋体" w:eastAsia="宋体" w:cs="Times New Roman"/>
          <w:szCs w:val="21"/>
          <w:lang w:bidi="ar"/>
        </w:rPr>
        <w:t>7.29%</w:t>
      </w:r>
      <w:r>
        <w:rPr>
          <w:rFonts w:hint="eastAsia" w:ascii="宋体" w:hAnsi="宋体" w:eastAsia="宋体" w:cs="宋体"/>
          <w:szCs w:val="21"/>
          <w:lang w:bidi="ar"/>
        </w:rPr>
        <w:t>和</w:t>
      </w:r>
      <w:r>
        <w:rPr>
          <w:rFonts w:ascii="宋体" w:hAnsi="宋体" w:eastAsia="宋体" w:cs="Times New Roman"/>
          <w:szCs w:val="21"/>
          <w:lang w:bidi="ar"/>
        </w:rPr>
        <w:t>0.27%</w:t>
      </w:r>
      <w:r>
        <w:rPr>
          <w:rFonts w:hint="eastAsia" w:ascii="宋体" w:hAnsi="宋体" w:eastAsia="宋体" w:cs="宋体"/>
          <w:szCs w:val="21"/>
          <w:lang w:bidi="ar"/>
        </w:rPr>
        <w:t>。</w:t>
      </w:r>
      <w:r>
        <w:rPr>
          <w:rFonts w:hint="eastAsia" w:ascii="宋体" w:hAnsi="宋体" w:eastAsia="宋体"/>
        </w:rPr>
        <w:t>从经营情况来看，</w:t>
      </w:r>
      <w:r>
        <w:rPr>
          <w:rFonts w:hint="eastAsia" w:ascii="宋体" w:hAnsi="宋体" w:eastAsia="宋体" w:cs="宋体"/>
          <w:szCs w:val="21"/>
          <w:lang w:bidi="ar"/>
        </w:rPr>
        <w:t>主板、创业板、科创板、北交所的营收规模分别为328,366.62亿、17,497.71亿、6,106.77亿、748.56亿，占比分别为</w:t>
      </w:r>
      <w:r>
        <w:rPr>
          <w:rFonts w:ascii="宋体" w:hAnsi="宋体" w:eastAsia="宋体" w:cs="宋体"/>
          <w:szCs w:val="21"/>
          <w:lang w:bidi="ar"/>
        </w:rPr>
        <w:t>93.10%</w:t>
      </w:r>
      <w:r>
        <w:rPr>
          <w:rFonts w:hint="eastAsia" w:ascii="宋体" w:hAnsi="宋体" w:eastAsia="宋体" w:cs="宋体"/>
          <w:szCs w:val="21"/>
          <w:lang w:bidi="ar"/>
        </w:rPr>
        <w:t>、4.96%、1.73%、0.21%。主板、创业板、科创板、北交所的净利润规模分别为27,718.69亿、1,310.38亿、380.24亿、55.02亿，占比分别为94.07%、4.45%、1.29%、0.19%。</w:t>
      </w:r>
      <w:r>
        <w:rPr>
          <w:rFonts w:hint="eastAsia" w:ascii="宋体" w:hAnsi="宋体" w:eastAsia="宋体"/>
        </w:rPr>
        <w:t>除主板外，创业板有近六成公司（545家）营业收入同比增长，有近五成公司（469家）净利润总额同比增长；科创板有逾六成公司（335家）营业收入同比增长，有近五成公司（245家）净利润总额同比增长；北交所上市公司有近六成公司（119家）营业收入同比增长，有近五成公司（96家）净利润总额同比增长。</w:t>
      </w:r>
    </w:p>
    <w:p>
      <w:pPr>
        <w:pStyle w:val="7"/>
        <w:rPr>
          <w:rFonts w:ascii="宋体" w:hAnsi="宋体"/>
        </w:rPr>
      </w:pPr>
      <w:r>
        <w:rPr>
          <w:rFonts w:hint="eastAsia" w:ascii="宋体" w:hAnsi="宋体"/>
        </w:rPr>
        <w:t xml:space="preserve">表 </w:t>
      </w:r>
      <w:r>
        <w:rPr>
          <w:rFonts w:ascii="宋体" w:hAnsi="宋体"/>
        </w:rPr>
        <w:fldChar w:fldCharType="begin"/>
      </w:r>
      <w:r>
        <w:rPr>
          <w:rFonts w:ascii="宋体" w:hAnsi="宋体"/>
        </w:rPr>
        <w:instrText xml:space="preserve"> </w:instrText>
      </w:r>
      <w:r>
        <w:rPr>
          <w:rFonts w:hint="eastAsia" w:ascii="宋体" w:hAnsi="宋体"/>
        </w:rPr>
        <w:instrText xml:space="preserve">SEQ 表 \* ARABIC</w:instrText>
      </w:r>
      <w:r>
        <w:rPr>
          <w:rFonts w:ascii="宋体" w:hAnsi="宋体"/>
        </w:rPr>
        <w:instrText xml:space="preserve"> </w:instrText>
      </w:r>
      <w:r>
        <w:rPr>
          <w:rFonts w:ascii="宋体" w:hAnsi="宋体"/>
        </w:rPr>
        <w:fldChar w:fldCharType="separate"/>
      </w:r>
      <w:r>
        <w:rPr>
          <w:rFonts w:ascii="宋体" w:hAnsi="宋体"/>
        </w:rPr>
        <w:t>1</w:t>
      </w:r>
      <w:r>
        <w:rPr>
          <w:rFonts w:ascii="宋体" w:hAnsi="宋体"/>
        </w:rPr>
        <w:fldChar w:fldCharType="end"/>
      </w:r>
      <w:r>
        <w:rPr>
          <w:rFonts w:ascii="宋体" w:hAnsi="宋体"/>
        </w:rPr>
        <w:t xml:space="preserve"> 2023</w:t>
      </w:r>
      <w:r>
        <w:rPr>
          <w:rFonts w:hint="eastAsia" w:ascii="宋体" w:hAnsi="宋体"/>
        </w:rPr>
        <w:t>年上半年上市公司总体表现情况</w:t>
      </w:r>
    </w:p>
    <w:tbl>
      <w:tblPr>
        <w:tblStyle w:val="18"/>
        <w:tblW w:w="493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
        <w:gridCol w:w="1114"/>
        <w:gridCol w:w="1114"/>
        <w:gridCol w:w="1114"/>
        <w:gridCol w:w="1011"/>
        <w:gridCol w:w="1092"/>
        <w:gridCol w:w="1008"/>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6" w:type="pct"/>
            <w:tcBorders>
              <w:tl2br w:val="nil"/>
              <w:tr2bl w:val="nil"/>
            </w:tcBorders>
            <w:shd w:val="clear" w:color="auto" w:fill="E7E6E6" w:themeFill="background2"/>
            <w:vAlign w:val="center"/>
          </w:tcPr>
          <w:p>
            <w:pPr>
              <w:spacing w:line="240" w:lineRule="auto"/>
              <w:ind w:firstLine="0" w:firstLineChars="0"/>
              <w:jc w:val="center"/>
              <w:rPr>
                <w:rFonts w:ascii="宋体" w:hAnsi="宋体"/>
                <w:color w:val="000000"/>
                <w:sz w:val="18"/>
              </w:rPr>
            </w:pPr>
          </w:p>
        </w:tc>
        <w:tc>
          <w:tcPr>
            <w:tcW w:w="662" w:type="pct"/>
            <w:tcBorders>
              <w:tl2br w:val="nil"/>
              <w:tr2bl w:val="nil"/>
            </w:tcBorders>
            <w:shd w:val="clear" w:color="auto" w:fill="E7E6E6" w:themeFill="background2"/>
            <w:vAlign w:val="center"/>
          </w:tcPr>
          <w:p>
            <w:pPr>
              <w:spacing w:line="240" w:lineRule="auto"/>
              <w:ind w:firstLine="0" w:firstLineChars="0"/>
              <w:jc w:val="center"/>
              <w:rPr>
                <w:rFonts w:ascii="宋体" w:hAnsi="宋体" w:eastAsia="宋体" w:cs="微软雅黑"/>
                <w:b/>
                <w:bCs/>
                <w:color w:val="000000"/>
                <w:sz w:val="18"/>
                <w:szCs w:val="18"/>
              </w:rPr>
            </w:pPr>
            <w:r>
              <w:rPr>
                <w:rFonts w:hint="eastAsia" w:ascii="宋体" w:hAnsi="宋体" w:eastAsia="宋体" w:cs="微软雅黑"/>
                <w:b/>
                <w:bCs/>
                <w:color w:val="000000"/>
                <w:sz w:val="18"/>
                <w:szCs w:val="18"/>
              </w:rPr>
              <w:t>总市值</w:t>
            </w:r>
          </w:p>
          <w:p>
            <w:pPr>
              <w:spacing w:line="240" w:lineRule="auto"/>
              <w:ind w:firstLine="0" w:firstLineChars="0"/>
              <w:jc w:val="center"/>
              <w:rPr>
                <w:rFonts w:ascii="宋体" w:hAnsi="宋体" w:eastAsia="宋体" w:cs="微软雅黑"/>
                <w:b/>
                <w:bCs/>
                <w:color w:val="000000"/>
                <w:sz w:val="18"/>
                <w:szCs w:val="18"/>
              </w:rPr>
            </w:pPr>
            <w:r>
              <w:rPr>
                <w:rFonts w:hint="eastAsia" w:ascii="宋体" w:hAnsi="宋体" w:eastAsia="宋体" w:cs="微软雅黑"/>
                <w:b/>
                <w:bCs/>
                <w:color w:val="000000"/>
                <w:sz w:val="18"/>
                <w:szCs w:val="18"/>
              </w:rPr>
              <w:t>（亿元）</w:t>
            </w:r>
          </w:p>
        </w:tc>
        <w:tc>
          <w:tcPr>
            <w:tcW w:w="662" w:type="pct"/>
            <w:tcBorders>
              <w:tl2br w:val="nil"/>
              <w:tr2bl w:val="nil"/>
            </w:tcBorders>
            <w:shd w:val="clear" w:color="auto" w:fill="E7E6E6" w:themeFill="background2"/>
            <w:vAlign w:val="center"/>
          </w:tcPr>
          <w:p>
            <w:pPr>
              <w:spacing w:line="240" w:lineRule="auto"/>
              <w:ind w:firstLine="0" w:firstLineChars="0"/>
              <w:jc w:val="center"/>
              <w:rPr>
                <w:rFonts w:ascii="宋体" w:hAnsi="宋体" w:eastAsia="宋体" w:cs="微软雅黑"/>
                <w:b/>
                <w:bCs/>
                <w:color w:val="000000"/>
                <w:sz w:val="18"/>
                <w:szCs w:val="18"/>
              </w:rPr>
            </w:pPr>
            <w:r>
              <w:rPr>
                <w:rFonts w:hint="eastAsia" w:ascii="宋体" w:hAnsi="宋体" w:eastAsia="宋体" w:cs="微软雅黑"/>
                <w:b/>
                <w:bCs/>
                <w:color w:val="000000"/>
                <w:sz w:val="18"/>
                <w:szCs w:val="18"/>
              </w:rPr>
              <w:t>增加值</w:t>
            </w:r>
          </w:p>
          <w:p>
            <w:pPr>
              <w:spacing w:line="240" w:lineRule="auto"/>
              <w:ind w:firstLine="0" w:firstLineChars="0"/>
              <w:jc w:val="center"/>
              <w:rPr>
                <w:rFonts w:ascii="宋体" w:hAnsi="宋体" w:eastAsia="宋体" w:cs="微软雅黑"/>
                <w:b/>
                <w:bCs/>
                <w:color w:val="000000"/>
                <w:sz w:val="18"/>
                <w:szCs w:val="18"/>
              </w:rPr>
            </w:pPr>
            <w:r>
              <w:rPr>
                <w:rFonts w:hint="eastAsia" w:ascii="宋体" w:hAnsi="宋体" w:eastAsia="宋体" w:cs="微软雅黑"/>
                <w:b/>
                <w:bCs/>
                <w:color w:val="000000"/>
                <w:sz w:val="18"/>
                <w:szCs w:val="18"/>
              </w:rPr>
              <w:t>（亿元）</w:t>
            </w:r>
          </w:p>
        </w:tc>
        <w:tc>
          <w:tcPr>
            <w:tcW w:w="662" w:type="pct"/>
            <w:tcBorders>
              <w:tl2br w:val="nil"/>
              <w:tr2bl w:val="nil"/>
            </w:tcBorders>
            <w:shd w:val="clear" w:color="auto" w:fill="E7E6E6" w:themeFill="background2"/>
            <w:vAlign w:val="center"/>
          </w:tcPr>
          <w:p>
            <w:pPr>
              <w:spacing w:line="240" w:lineRule="auto"/>
              <w:ind w:firstLine="0" w:firstLineChars="0"/>
              <w:jc w:val="center"/>
              <w:rPr>
                <w:rFonts w:ascii="宋体" w:hAnsi="宋体" w:eastAsia="宋体" w:cs="微软雅黑"/>
                <w:b/>
                <w:bCs/>
                <w:color w:val="000000"/>
                <w:sz w:val="18"/>
                <w:szCs w:val="18"/>
              </w:rPr>
            </w:pPr>
            <w:r>
              <w:rPr>
                <w:rFonts w:hint="eastAsia" w:ascii="宋体" w:hAnsi="宋体"/>
                <w:b/>
                <w:color w:val="000000"/>
                <w:sz w:val="18"/>
              </w:rPr>
              <w:t>营业收入</w:t>
            </w:r>
            <w:r>
              <w:rPr>
                <w:rFonts w:hint="eastAsia" w:ascii="宋体" w:hAnsi="宋体" w:eastAsia="宋体" w:cs="微软雅黑"/>
                <w:b/>
                <w:bCs/>
                <w:color w:val="000000"/>
                <w:sz w:val="18"/>
                <w:szCs w:val="18"/>
              </w:rPr>
              <w:t>总额</w:t>
            </w:r>
          </w:p>
          <w:p>
            <w:pPr>
              <w:spacing w:line="240" w:lineRule="auto"/>
              <w:ind w:firstLine="0" w:firstLineChars="0"/>
              <w:jc w:val="center"/>
              <w:rPr>
                <w:rFonts w:ascii="宋体" w:hAnsi="宋体"/>
                <w:b/>
                <w:color w:val="000000"/>
                <w:sz w:val="18"/>
              </w:rPr>
            </w:pPr>
            <w:r>
              <w:rPr>
                <w:rFonts w:hint="eastAsia" w:ascii="宋体" w:hAnsi="宋体" w:eastAsia="宋体" w:cs="微软雅黑"/>
                <w:b/>
                <w:bCs/>
                <w:color w:val="000000"/>
                <w:sz w:val="18"/>
                <w:szCs w:val="18"/>
              </w:rPr>
              <w:t>（亿元）</w:t>
            </w:r>
          </w:p>
        </w:tc>
        <w:tc>
          <w:tcPr>
            <w:tcW w:w="601" w:type="pct"/>
            <w:tcBorders>
              <w:tl2br w:val="nil"/>
              <w:tr2bl w:val="nil"/>
            </w:tcBorders>
            <w:shd w:val="clear" w:color="auto" w:fill="E7E6E6" w:themeFill="background2"/>
            <w:vAlign w:val="center"/>
          </w:tcPr>
          <w:p>
            <w:pPr>
              <w:spacing w:line="240" w:lineRule="auto"/>
              <w:ind w:firstLine="0" w:firstLineChars="0"/>
              <w:jc w:val="center"/>
              <w:rPr>
                <w:rFonts w:ascii="宋体" w:hAnsi="宋体" w:eastAsia="宋体" w:cs="微软雅黑"/>
                <w:b/>
                <w:bCs/>
                <w:color w:val="000000"/>
                <w:sz w:val="18"/>
                <w:szCs w:val="18"/>
              </w:rPr>
            </w:pPr>
            <w:r>
              <w:rPr>
                <w:rFonts w:hint="eastAsia" w:ascii="宋体" w:hAnsi="宋体"/>
                <w:b/>
                <w:color w:val="000000"/>
                <w:sz w:val="18"/>
              </w:rPr>
              <w:t>净利润</w:t>
            </w:r>
            <w:r>
              <w:rPr>
                <w:rFonts w:hint="eastAsia" w:ascii="宋体" w:hAnsi="宋体" w:eastAsia="宋体" w:cs="微软雅黑"/>
                <w:b/>
                <w:bCs/>
                <w:color w:val="000000"/>
                <w:sz w:val="18"/>
                <w:szCs w:val="18"/>
              </w:rPr>
              <w:t>总额</w:t>
            </w:r>
          </w:p>
          <w:p>
            <w:pPr>
              <w:spacing w:line="240" w:lineRule="auto"/>
              <w:ind w:firstLine="0" w:firstLineChars="0"/>
              <w:jc w:val="center"/>
              <w:rPr>
                <w:rFonts w:ascii="宋体" w:hAnsi="宋体"/>
                <w:b/>
                <w:color w:val="000000"/>
                <w:sz w:val="18"/>
              </w:rPr>
            </w:pPr>
            <w:r>
              <w:rPr>
                <w:rFonts w:hint="eastAsia" w:ascii="宋体" w:hAnsi="宋体" w:eastAsia="宋体" w:cs="微软雅黑"/>
                <w:b/>
                <w:bCs/>
                <w:color w:val="000000"/>
                <w:sz w:val="18"/>
                <w:szCs w:val="18"/>
              </w:rPr>
              <w:t>（亿元）</w:t>
            </w:r>
          </w:p>
        </w:tc>
        <w:tc>
          <w:tcPr>
            <w:tcW w:w="649" w:type="pct"/>
            <w:tcBorders>
              <w:tl2br w:val="nil"/>
              <w:tr2bl w:val="nil"/>
            </w:tcBorders>
            <w:shd w:val="clear" w:color="auto" w:fill="E7E6E6" w:themeFill="background2"/>
            <w:vAlign w:val="center"/>
          </w:tcPr>
          <w:p>
            <w:pPr>
              <w:spacing w:line="240" w:lineRule="auto"/>
              <w:ind w:firstLine="0" w:firstLineChars="0"/>
              <w:jc w:val="center"/>
              <w:rPr>
                <w:rFonts w:ascii="宋体" w:hAnsi="宋体" w:eastAsia="宋体" w:cs="微软雅黑"/>
                <w:b/>
                <w:bCs/>
                <w:color w:val="000000"/>
                <w:sz w:val="18"/>
                <w:szCs w:val="18"/>
              </w:rPr>
            </w:pPr>
            <w:r>
              <w:rPr>
                <w:rFonts w:hint="eastAsia" w:ascii="宋体" w:hAnsi="宋体"/>
                <w:b/>
                <w:color w:val="000000"/>
                <w:sz w:val="18"/>
              </w:rPr>
              <w:t>支付的各项税费</w:t>
            </w:r>
            <w:r>
              <w:rPr>
                <w:rFonts w:hint="eastAsia" w:ascii="宋体" w:hAnsi="宋体" w:eastAsia="宋体" w:cs="微软雅黑"/>
                <w:b/>
                <w:bCs/>
                <w:color w:val="000000"/>
                <w:sz w:val="18"/>
                <w:szCs w:val="18"/>
              </w:rPr>
              <w:t>总额</w:t>
            </w:r>
          </w:p>
          <w:p>
            <w:pPr>
              <w:spacing w:line="240" w:lineRule="auto"/>
              <w:ind w:firstLine="0" w:firstLineChars="0"/>
              <w:jc w:val="center"/>
              <w:rPr>
                <w:rFonts w:ascii="宋体" w:hAnsi="宋体"/>
                <w:b/>
                <w:color w:val="000000"/>
                <w:sz w:val="18"/>
              </w:rPr>
            </w:pPr>
            <w:r>
              <w:rPr>
                <w:rFonts w:hint="eastAsia" w:ascii="宋体" w:hAnsi="宋体" w:eastAsia="宋体" w:cs="微软雅黑"/>
                <w:b/>
                <w:bCs/>
                <w:color w:val="000000"/>
                <w:sz w:val="18"/>
                <w:szCs w:val="18"/>
              </w:rPr>
              <w:t>（亿元）</w:t>
            </w:r>
          </w:p>
        </w:tc>
        <w:tc>
          <w:tcPr>
            <w:tcW w:w="599" w:type="pct"/>
            <w:tcBorders>
              <w:tl2br w:val="nil"/>
              <w:tr2bl w:val="nil"/>
            </w:tcBorders>
            <w:shd w:val="clear" w:color="auto" w:fill="E7E6E6" w:themeFill="background2"/>
            <w:vAlign w:val="center"/>
          </w:tcPr>
          <w:p>
            <w:pPr>
              <w:spacing w:line="240" w:lineRule="auto"/>
              <w:ind w:firstLine="0" w:firstLineChars="0"/>
              <w:jc w:val="center"/>
              <w:rPr>
                <w:rFonts w:ascii="宋体" w:hAnsi="宋体" w:eastAsia="宋体" w:cs="微软雅黑"/>
                <w:b/>
                <w:bCs/>
                <w:color w:val="000000"/>
                <w:sz w:val="18"/>
                <w:szCs w:val="18"/>
              </w:rPr>
            </w:pPr>
            <w:r>
              <w:rPr>
                <w:rFonts w:hint="eastAsia" w:ascii="宋体" w:hAnsi="宋体"/>
                <w:b/>
                <w:color w:val="000000"/>
                <w:sz w:val="18"/>
              </w:rPr>
              <w:t>研发支出</w:t>
            </w:r>
            <w:r>
              <w:rPr>
                <w:rFonts w:hint="eastAsia" w:ascii="宋体" w:hAnsi="宋体" w:eastAsia="宋体" w:cs="微软雅黑"/>
                <w:b/>
                <w:bCs/>
                <w:color w:val="000000"/>
                <w:sz w:val="18"/>
                <w:szCs w:val="18"/>
              </w:rPr>
              <w:t>总额</w:t>
            </w:r>
          </w:p>
          <w:p>
            <w:pPr>
              <w:spacing w:line="240" w:lineRule="auto"/>
              <w:ind w:firstLine="0" w:firstLineChars="0"/>
              <w:jc w:val="center"/>
              <w:rPr>
                <w:rFonts w:ascii="宋体" w:hAnsi="宋体"/>
                <w:b/>
                <w:color w:val="000000"/>
                <w:sz w:val="18"/>
              </w:rPr>
            </w:pPr>
            <w:r>
              <w:rPr>
                <w:rFonts w:hint="eastAsia" w:ascii="宋体" w:hAnsi="宋体" w:eastAsia="宋体" w:cs="微软雅黑"/>
                <w:b/>
                <w:bCs/>
                <w:color w:val="000000"/>
                <w:sz w:val="18"/>
                <w:szCs w:val="18"/>
              </w:rPr>
              <w:t>（亿元）</w:t>
            </w:r>
          </w:p>
        </w:tc>
        <w:tc>
          <w:tcPr>
            <w:tcW w:w="599" w:type="pct"/>
            <w:tcBorders>
              <w:tl2br w:val="nil"/>
              <w:tr2bl w:val="nil"/>
            </w:tcBorders>
            <w:shd w:val="clear" w:color="auto" w:fill="E7E6E6" w:themeFill="background2"/>
            <w:vAlign w:val="center"/>
          </w:tcPr>
          <w:p>
            <w:pPr>
              <w:spacing w:line="240" w:lineRule="auto"/>
              <w:ind w:firstLine="0" w:firstLineChars="0"/>
              <w:jc w:val="center"/>
              <w:rPr>
                <w:rFonts w:ascii="宋体" w:hAnsi="宋体" w:eastAsia="宋体" w:cs="微软雅黑"/>
                <w:b/>
                <w:bCs/>
                <w:color w:val="000000"/>
                <w:sz w:val="18"/>
                <w:szCs w:val="18"/>
              </w:rPr>
            </w:pPr>
            <w:r>
              <w:rPr>
                <w:rFonts w:hint="eastAsia" w:ascii="宋体" w:hAnsi="宋体" w:eastAsia="宋体" w:cs="微软雅黑"/>
                <w:b/>
                <w:bCs/>
                <w:color w:val="000000"/>
                <w:sz w:val="18"/>
                <w:szCs w:val="18"/>
              </w:rPr>
              <w:t>证券化率</w:t>
            </w:r>
          </w:p>
          <w:p>
            <w:pPr>
              <w:spacing w:line="240" w:lineRule="auto"/>
              <w:ind w:firstLine="0" w:firstLineChars="0"/>
              <w:jc w:val="center"/>
              <w:rPr>
                <w:rFonts w:ascii="宋体" w:hAnsi="宋体" w:eastAsia="宋体" w:cs="微软雅黑"/>
                <w:b/>
                <w:bCs/>
                <w:color w:val="000000"/>
                <w:sz w:val="18"/>
                <w:szCs w:val="18"/>
              </w:rPr>
            </w:pPr>
            <w:r>
              <w:rPr>
                <w:rFonts w:hint="eastAsia" w:ascii="宋体" w:hAnsi="宋体" w:eastAsia="宋体" w:cs="微软雅黑"/>
                <w:b/>
                <w:bCs/>
                <w:color w:val="00000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6" w:type="pct"/>
            <w:tcBorders>
              <w:tl2br w:val="nil"/>
              <w:tr2bl w:val="nil"/>
            </w:tcBorders>
            <w:shd w:val="clear" w:color="auto" w:fill="auto"/>
            <w:vAlign w:val="center"/>
          </w:tcPr>
          <w:p>
            <w:pPr>
              <w:widowControl/>
              <w:spacing w:line="240" w:lineRule="auto"/>
              <w:ind w:firstLine="0" w:firstLineChars="0"/>
              <w:jc w:val="center"/>
              <w:textAlignment w:val="center"/>
              <w:rPr>
                <w:rFonts w:ascii="宋体" w:hAnsi="宋体"/>
                <w:color w:val="000000"/>
                <w:sz w:val="18"/>
              </w:rPr>
            </w:pPr>
            <w:r>
              <w:rPr>
                <w:rFonts w:hint="eastAsia" w:ascii="宋体" w:hAnsi="宋体"/>
                <w:color w:val="000000"/>
                <w:kern w:val="0"/>
                <w:sz w:val="18"/>
              </w:rPr>
              <w:t>总额</w:t>
            </w:r>
          </w:p>
        </w:tc>
        <w:tc>
          <w:tcPr>
            <w:tcW w:w="662" w:type="pct"/>
            <w:tcBorders>
              <w:tl2br w:val="nil"/>
              <w:tr2bl w:val="nil"/>
            </w:tcBorders>
            <w:vAlign w:val="center"/>
          </w:tcPr>
          <w:p>
            <w:pPr>
              <w:widowControl/>
              <w:spacing w:line="240" w:lineRule="auto"/>
              <w:ind w:firstLine="0" w:firstLineChars="0"/>
              <w:jc w:val="center"/>
              <w:textAlignment w:val="center"/>
              <w:rPr>
                <w:rFonts w:ascii="宋体" w:hAnsi="宋体" w:eastAsia="宋体" w:cs="微软雅黑"/>
                <w:color w:val="000000"/>
                <w:kern w:val="0"/>
                <w:sz w:val="18"/>
                <w:szCs w:val="18"/>
                <w:lang w:bidi="ar"/>
              </w:rPr>
            </w:pPr>
            <w:r>
              <w:rPr>
                <w:rFonts w:ascii="宋体" w:hAnsi="宋体" w:eastAsia="宋体" w:cs="微软雅黑"/>
                <w:color w:val="000000"/>
                <w:kern w:val="0"/>
                <w:sz w:val="18"/>
                <w:szCs w:val="18"/>
                <w:lang w:bidi="ar"/>
              </w:rPr>
              <w:t>865762.59</w:t>
            </w:r>
          </w:p>
        </w:tc>
        <w:tc>
          <w:tcPr>
            <w:tcW w:w="662" w:type="pct"/>
            <w:tcBorders>
              <w:tl2br w:val="nil"/>
              <w:tr2bl w:val="nil"/>
            </w:tcBorders>
            <w:vAlign w:val="center"/>
          </w:tcPr>
          <w:p>
            <w:pPr>
              <w:widowControl/>
              <w:spacing w:line="240" w:lineRule="auto"/>
              <w:ind w:firstLine="0" w:firstLineChars="0"/>
              <w:jc w:val="center"/>
              <w:textAlignment w:val="center"/>
              <w:rPr>
                <w:rFonts w:ascii="宋体" w:hAnsi="宋体" w:eastAsia="宋体" w:cs="微软雅黑"/>
                <w:color w:val="000000"/>
                <w:kern w:val="0"/>
                <w:sz w:val="18"/>
                <w:szCs w:val="18"/>
                <w:lang w:bidi="ar"/>
              </w:rPr>
            </w:pPr>
            <w:r>
              <w:rPr>
                <w:rFonts w:ascii="宋体" w:hAnsi="宋体" w:eastAsia="宋体" w:cs="微软雅黑"/>
                <w:color w:val="000000"/>
                <w:kern w:val="0"/>
                <w:sz w:val="18"/>
                <w:szCs w:val="18"/>
                <w:lang w:bidi="ar"/>
              </w:rPr>
              <w:t>90671.15</w:t>
            </w:r>
          </w:p>
        </w:tc>
        <w:tc>
          <w:tcPr>
            <w:tcW w:w="662" w:type="pct"/>
            <w:tcBorders>
              <w:tl2br w:val="nil"/>
              <w:tr2bl w:val="nil"/>
            </w:tcBorders>
            <w:vAlign w:val="center"/>
          </w:tcPr>
          <w:p>
            <w:pPr>
              <w:widowControl/>
              <w:spacing w:line="240" w:lineRule="auto"/>
              <w:ind w:firstLine="0" w:firstLineChars="0"/>
              <w:jc w:val="center"/>
              <w:textAlignment w:val="center"/>
              <w:rPr>
                <w:rFonts w:ascii="宋体" w:hAnsi="宋体"/>
                <w:color w:val="000000"/>
                <w:kern w:val="0"/>
                <w:sz w:val="18"/>
              </w:rPr>
            </w:pPr>
            <w:r>
              <w:rPr>
                <w:rFonts w:ascii="宋体" w:hAnsi="宋体"/>
                <w:color w:val="000000"/>
                <w:kern w:val="0"/>
                <w:sz w:val="18"/>
              </w:rPr>
              <w:t>352719.66</w:t>
            </w:r>
          </w:p>
        </w:tc>
        <w:tc>
          <w:tcPr>
            <w:tcW w:w="601" w:type="pct"/>
            <w:tcBorders>
              <w:tl2br w:val="nil"/>
              <w:tr2bl w:val="nil"/>
            </w:tcBorders>
            <w:shd w:val="clear" w:color="auto" w:fill="auto"/>
            <w:vAlign w:val="center"/>
          </w:tcPr>
          <w:p>
            <w:pPr>
              <w:widowControl/>
              <w:spacing w:line="240" w:lineRule="auto"/>
              <w:ind w:firstLine="0" w:firstLineChars="0"/>
              <w:jc w:val="center"/>
              <w:textAlignment w:val="center"/>
              <w:rPr>
                <w:rFonts w:ascii="宋体" w:hAnsi="宋体"/>
                <w:color w:val="000000"/>
                <w:kern w:val="0"/>
                <w:sz w:val="18"/>
              </w:rPr>
            </w:pPr>
            <w:r>
              <w:rPr>
                <w:rFonts w:ascii="宋体" w:hAnsi="宋体"/>
                <w:color w:val="000000"/>
                <w:kern w:val="0"/>
                <w:sz w:val="18"/>
              </w:rPr>
              <w:t>29464.32</w:t>
            </w:r>
          </w:p>
        </w:tc>
        <w:tc>
          <w:tcPr>
            <w:tcW w:w="649" w:type="pct"/>
            <w:tcBorders>
              <w:tl2br w:val="nil"/>
              <w:tr2bl w:val="nil"/>
            </w:tcBorders>
            <w:shd w:val="clear" w:color="auto" w:fill="auto"/>
            <w:vAlign w:val="center"/>
          </w:tcPr>
          <w:p>
            <w:pPr>
              <w:widowControl/>
              <w:spacing w:line="240" w:lineRule="auto"/>
              <w:ind w:firstLine="0" w:firstLineChars="0"/>
              <w:jc w:val="center"/>
              <w:textAlignment w:val="center"/>
              <w:rPr>
                <w:rFonts w:ascii="宋体" w:hAnsi="宋体"/>
                <w:color w:val="000000"/>
                <w:sz w:val="18"/>
              </w:rPr>
            </w:pPr>
            <w:r>
              <w:rPr>
                <w:rFonts w:ascii="宋体" w:hAnsi="宋体"/>
                <w:color w:val="000000"/>
                <w:kern w:val="0"/>
                <w:sz w:val="18"/>
              </w:rPr>
              <w:t>25957.09</w:t>
            </w:r>
          </w:p>
        </w:tc>
        <w:tc>
          <w:tcPr>
            <w:tcW w:w="599" w:type="pct"/>
            <w:tcBorders>
              <w:tl2br w:val="nil"/>
              <w:tr2bl w:val="nil"/>
            </w:tcBorders>
            <w:shd w:val="clear" w:color="auto" w:fill="auto"/>
            <w:vAlign w:val="center"/>
          </w:tcPr>
          <w:p>
            <w:pPr>
              <w:widowControl/>
              <w:spacing w:line="240" w:lineRule="auto"/>
              <w:ind w:firstLine="0" w:firstLineChars="0"/>
              <w:jc w:val="center"/>
              <w:textAlignment w:val="center"/>
              <w:rPr>
                <w:rFonts w:ascii="宋体" w:hAnsi="宋体"/>
                <w:color w:val="000000"/>
                <w:kern w:val="0"/>
                <w:sz w:val="18"/>
              </w:rPr>
            </w:pPr>
            <w:r>
              <w:rPr>
                <w:rFonts w:ascii="宋体" w:hAnsi="宋体"/>
                <w:color w:val="000000"/>
                <w:kern w:val="0"/>
                <w:sz w:val="18"/>
              </w:rPr>
              <w:t>7060.61</w:t>
            </w:r>
          </w:p>
        </w:tc>
        <w:tc>
          <w:tcPr>
            <w:tcW w:w="599" w:type="pct"/>
            <w:tcBorders>
              <w:tl2br w:val="nil"/>
              <w:tr2bl w:val="nil"/>
            </w:tcBorders>
            <w:vAlign w:val="center"/>
          </w:tcPr>
          <w:p>
            <w:pPr>
              <w:widowControl/>
              <w:spacing w:line="240" w:lineRule="auto"/>
              <w:ind w:firstLine="0" w:firstLineChars="0"/>
              <w:jc w:val="center"/>
              <w:textAlignment w:val="center"/>
              <w:rPr>
                <w:rFonts w:ascii="宋体" w:hAnsi="宋体" w:eastAsia="宋体" w:cs="微软雅黑"/>
                <w:color w:val="000000"/>
                <w:kern w:val="0"/>
                <w:sz w:val="18"/>
                <w:szCs w:val="18"/>
                <w:lang w:bidi="ar"/>
              </w:rPr>
            </w:pPr>
            <w:r>
              <w:rPr>
                <w:rFonts w:ascii="宋体" w:hAnsi="宋体" w:eastAsia="宋体" w:cs="微软雅黑"/>
                <w:color w:val="000000"/>
                <w:kern w:val="0"/>
                <w:sz w:val="18"/>
                <w:szCs w:val="18"/>
                <w:lang w:bidi="ar"/>
              </w:rPr>
              <w:t>15.29%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6" w:type="pct"/>
            <w:tcBorders>
              <w:tl2br w:val="nil"/>
              <w:tr2bl w:val="nil"/>
            </w:tcBorders>
            <w:shd w:val="clear" w:color="auto" w:fill="auto"/>
            <w:vAlign w:val="center"/>
          </w:tcPr>
          <w:p>
            <w:pPr>
              <w:widowControl/>
              <w:spacing w:line="240" w:lineRule="auto"/>
              <w:ind w:firstLine="0" w:firstLineChars="0"/>
              <w:jc w:val="center"/>
              <w:textAlignment w:val="center"/>
              <w:rPr>
                <w:rFonts w:ascii="宋体" w:hAnsi="宋体" w:eastAsia="宋体" w:cs="微软雅黑"/>
                <w:color w:val="000000"/>
                <w:kern w:val="0"/>
                <w:sz w:val="18"/>
                <w:szCs w:val="18"/>
                <w:lang w:bidi="ar"/>
              </w:rPr>
            </w:pPr>
            <w:r>
              <w:rPr>
                <w:rFonts w:hint="eastAsia" w:ascii="宋体" w:hAnsi="宋体"/>
                <w:color w:val="000000"/>
                <w:kern w:val="0"/>
                <w:sz w:val="18"/>
              </w:rPr>
              <w:t>同比</w:t>
            </w:r>
          </w:p>
          <w:p>
            <w:pPr>
              <w:widowControl/>
              <w:spacing w:line="240" w:lineRule="auto"/>
              <w:ind w:firstLine="0" w:firstLineChars="0"/>
              <w:jc w:val="center"/>
              <w:textAlignment w:val="center"/>
              <w:rPr>
                <w:rFonts w:ascii="宋体" w:hAnsi="宋体"/>
                <w:color w:val="000000"/>
                <w:sz w:val="18"/>
              </w:rPr>
            </w:pPr>
            <w:r>
              <w:rPr>
                <w:rFonts w:hint="eastAsia" w:ascii="宋体" w:hAnsi="宋体"/>
                <w:color w:val="000000"/>
                <w:kern w:val="0"/>
                <w:sz w:val="18"/>
              </w:rPr>
              <w:t>增速</w:t>
            </w:r>
          </w:p>
        </w:tc>
        <w:tc>
          <w:tcPr>
            <w:tcW w:w="662" w:type="pct"/>
            <w:tcBorders>
              <w:tl2br w:val="nil"/>
              <w:tr2bl w:val="nil"/>
            </w:tcBorders>
            <w:vAlign w:val="center"/>
          </w:tcPr>
          <w:p>
            <w:pPr>
              <w:widowControl/>
              <w:spacing w:line="240" w:lineRule="auto"/>
              <w:ind w:firstLine="0" w:firstLineChars="0"/>
              <w:jc w:val="center"/>
              <w:textAlignment w:val="center"/>
              <w:rPr>
                <w:rFonts w:ascii="宋体" w:hAnsi="宋体" w:eastAsia="宋体" w:cs="微软雅黑"/>
                <w:color w:val="000000"/>
                <w:kern w:val="0"/>
                <w:sz w:val="18"/>
                <w:szCs w:val="18"/>
                <w:lang w:bidi="ar"/>
              </w:rPr>
            </w:pPr>
            <w:r>
              <w:rPr>
                <w:rFonts w:ascii="宋体" w:hAnsi="宋体" w:eastAsia="宋体" w:cs="微软雅黑"/>
                <w:color w:val="000000"/>
                <w:kern w:val="0"/>
                <w:sz w:val="18"/>
                <w:szCs w:val="18"/>
                <w:lang w:bidi="ar"/>
              </w:rPr>
              <w:t>-0.26%</w:t>
            </w:r>
          </w:p>
        </w:tc>
        <w:tc>
          <w:tcPr>
            <w:tcW w:w="662" w:type="pct"/>
            <w:tcBorders>
              <w:tl2br w:val="nil"/>
              <w:tr2bl w:val="nil"/>
            </w:tcBorders>
            <w:vAlign w:val="center"/>
          </w:tcPr>
          <w:p>
            <w:pPr>
              <w:widowControl/>
              <w:spacing w:line="240" w:lineRule="auto"/>
              <w:ind w:firstLine="0" w:firstLineChars="0"/>
              <w:jc w:val="center"/>
              <w:textAlignment w:val="center"/>
              <w:rPr>
                <w:rFonts w:ascii="宋体" w:hAnsi="宋体" w:eastAsia="宋体" w:cs="微软雅黑"/>
                <w:color w:val="000000"/>
                <w:kern w:val="0"/>
                <w:sz w:val="18"/>
                <w:szCs w:val="18"/>
                <w:lang w:bidi="ar"/>
              </w:rPr>
            </w:pPr>
            <w:r>
              <w:rPr>
                <w:rFonts w:ascii="宋体" w:hAnsi="宋体" w:eastAsia="宋体" w:cs="微软雅黑"/>
                <w:color w:val="000000"/>
                <w:kern w:val="0"/>
                <w:sz w:val="18"/>
                <w:szCs w:val="18"/>
                <w:lang w:bidi="ar"/>
              </w:rPr>
              <w:t>3.80%</w:t>
            </w:r>
          </w:p>
        </w:tc>
        <w:tc>
          <w:tcPr>
            <w:tcW w:w="662" w:type="pct"/>
            <w:tcBorders>
              <w:tl2br w:val="nil"/>
              <w:tr2bl w:val="nil"/>
            </w:tcBorders>
            <w:vAlign w:val="center"/>
          </w:tcPr>
          <w:p>
            <w:pPr>
              <w:widowControl/>
              <w:spacing w:line="240" w:lineRule="auto"/>
              <w:ind w:firstLine="0" w:firstLineChars="0"/>
              <w:jc w:val="center"/>
              <w:textAlignment w:val="center"/>
              <w:rPr>
                <w:rFonts w:ascii="宋体" w:hAnsi="宋体"/>
                <w:color w:val="000000"/>
                <w:kern w:val="0"/>
                <w:sz w:val="18"/>
              </w:rPr>
            </w:pPr>
            <w:r>
              <w:rPr>
                <w:rFonts w:ascii="宋体" w:hAnsi="宋体"/>
                <w:color w:val="000000"/>
                <w:kern w:val="0"/>
                <w:sz w:val="18"/>
              </w:rPr>
              <w:t>1.62%</w:t>
            </w:r>
          </w:p>
        </w:tc>
        <w:tc>
          <w:tcPr>
            <w:tcW w:w="601" w:type="pct"/>
            <w:tcBorders>
              <w:tl2br w:val="nil"/>
              <w:tr2bl w:val="nil"/>
            </w:tcBorders>
            <w:shd w:val="clear" w:color="auto" w:fill="auto"/>
            <w:vAlign w:val="center"/>
          </w:tcPr>
          <w:p>
            <w:pPr>
              <w:widowControl/>
              <w:spacing w:line="240" w:lineRule="auto"/>
              <w:ind w:firstLine="0" w:firstLineChars="0"/>
              <w:jc w:val="center"/>
              <w:textAlignment w:val="center"/>
              <w:rPr>
                <w:rFonts w:ascii="宋体" w:hAnsi="宋体"/>
                <w:color w:val="000000"/>
                <w:kern w:val="0"/>
                <w:sz w:val="18"/>
              </w:rPr>
            </w:pPr>
            <w:r>
              <w:rPr>
                <w:rFonts w:ascii="宋体" w:hAnsi="宋体"/>
                <w:color w:val="000000"/>
                <w:kern w:val="0"/>
                <w:sz w:val="18"/>
              </w:rPr>
              <w:t>-3.28%</w:t>
            </w:r>
          </w:p>
        </w:tc>
        <w:tc>
          <w:tcPr>
            <w:tcW w:w="649" w:type="pct"/>
            <w:tcBorders>
              <w:tl2br w:val="nil"/>
              <w:tr2bl w:val="nil"/>
            </w:tcBorders>
            <w:shd w:val="clear" w:color="auto" w:fill="auto"/>
            <w:vAlign w:val="center"/>
          </w:tcPr>
          <w:p>
            <w:pPr>
              <w:widowControl/>
              <w:spacing w:line="240" w:lineRule="auto"/>
              <w:ind w:firstLine="0" w:firstLineChars="0"/>
              <w:jc w:val="center"/>
              <w:textAlignment w:val="center"/>
              <w:rPr>
                <w:rFonts w:ascii="宋体" w:hAnsi="宋体"/>
                <w:color w:val="000000"/>
                <w:sz w:val="18"/>
              </w:rPr>
            </w:pPr>
            <w:r>
              <w:rPr>
                <w:rFonts w:ascii="宋体" w:hAnsi="宋体"/>
                <w:color w:val="000000"/>
                <w:kern w:val="0"/>
                <w:sz w:val="18"/>
              </w:rPr>
              <w:t>-4.21%</w:t>
            </w:r>
          </w:p>
        </w:tc>
        <w:tc>
          <w:tcPr>
            <w:tcW w:w="599" w:type="pct"/>
            <w:tcBorders>
              <w:tl2br w:val="nil"/>
              <w:tr2bl w:val="nil"/>
            </w:tcBorders>
            <w:shd w:val="clear" w:color="auto" w:fill="auto"/>
            <w:vAlign w:val="center"/>
          </w:tcPr>
          <w:p>
            <w:pPr>
              <w:widowControl/>
              <w:spacing w:line="240" w:lineRule="auto"/>
              <w:ind w:firstLine="0" w:firstLineChars="0"/>
              <w:jc w:val="center"/>
              <w:textAlignment w:val="center"/>
              <w:rPr>
                <w:rFonts w:ascii="宋体" w:hAnsi="宋体"/>
                <w:color w:val="000000"/>
                <w:kern w:val="0"/>
                <w:sz w:val="18"/>
              </w:rPr>
            </w:pPr>
            <w:r>
              <w:rPr>
                <w:rFonts w:ascii="宋体" w:hAnsi="宋体"/>
                <w:color w:val="000000"/>
                <w:kern w:val="0"/>
                <w:sz w:val="18"/>
              </w:rPr>
              <w:t>11.03%</w:t>
            </w:r>
          </w:p>
        </w:tc>
        <w:tc>
          <w:tcPr>
            <w:tcW w:w="599" w:type="pct"/>
            <w:tcBorders>
              <w:tl2br w:val="nil"/>
              <w:tr2bl w:val="nil"/>
            </w:tcBorders>
            <w:vAlign w:val="center"/>
          </w:tcPr>
          <w:p>
            <w:pPr>
              <w:widowControl/>
              <w:spacing w:line="240" w:lineRule="auto"/>
              <w:ind w:firstLine="0" w:firstLineChars="0"/>
              <w:jc w:val="center"/>
              <w:textAlignment w:val="center"/>
              <w:rPr>
                <w:rFonts w:ascii="宋体" w:hAnsi="宋体" w:eastAsia="宋体" w:cs="微软雅黑"/>
                <w:color w:val="000000"/>
                <w:kern w:val="0"/>
                <w:sz w:val="18"/>
                <w:szCs w:val="18"/>
                <w:lang w:bidi="ar"/>
              </w:rPr>
            </w:pPr>
            <w:r>
              <w:rPr>
                <w:rFonts w:hint="eastAsia" w:ascii="宋体" w:hAnsi="宋体" w:eastAsia="宋体" w:cs="微软雅黑"/>
                <w:color w:val="000000"/>
                <w:kern w:val="0"/>
                <w:sz w:val="18"/>
                <w:szCs w:val="18"/>
                <w:lang w:bidi="ar"/>
              </w:rPr>
              <w:t>-</w:t>
            </w:r>
          </w:p>
        </w:tc>
      </w:tr>
    </w:tbl>
    <w:p>
      <w:pPr>
        <w:ind w:firstLine="0" w:firstLineChars="0"/>
        <w:jc w:val="left"/>
        <w:rPr>
          <w:rFonts w:ascii="宋体" w:hAnsi="宋体" w:eastAsia="宋体" w:cstheme="majorHAnsi"/>
          <w:sz w:val="18"/>
          <w:szCs w:val="18"/>
        </w:rPr>
      </w:pPr>
      <w:r>
        <w:rPr>
          <w:rFonts w:ascii="宋体" w:hAnsi="宋体" w:eastAsia="宋体" w:cstheme="majorHAnsi"/>
          <w:sz w:val="18"/>
          <w:szCs w:val="18"/>
        </w:rPr>
        <w:t>数据来源：国家统计局</w:t>
      </w:r>
      <w:r>
        <w:rPr>
          <w:rFonts w:hint="eastAsia" w:ascii="宋体" w:hAnsi="宋体" w:eastAsia="宋体" w:cstheme="majorHAnsi"/>
          <w:sz w:val="18"/>
          <w:szCs w:val="18"/>
        </w:rPr>
        <w:t>、</w:t>
      </w:r>
      <w:r>
        <w:rPr>
          <w:rFonts w:ascii="宋体" w:hAnsi="宋体" w:eastAsia="宋体" w:cstheme="majorHAnsi"/>
          <w:sz w:val="18"/>
          <w:szCs w:val="18"/>
        </w:rPr>
        <w:t>Choice</w:t>
      </w:r>
      <w:r>
        <w:rPr>
          <w:rFonts w:hint="eastAsia" w:ascii="宋体" w:hAnsi="宋体" w:eastAsia="宋体" w:cstheme="majorHAnsi"/>
          <w:sz w:val="18"/>
          <w:szCs w:val="18"/>
        </w:rPr>
        <w:t>、</w:t>
      </w:r>
      <w:r>
        <w:rPr>
          <w:rFonts w:ascii="宋体" w:hAnsi="宋体" w:eastAsia="宋体" w:cstheme="majorHAnsi"/>
          <w:sz w:val="18"/>
          <w:szCs w:val="18"/>
        </w:rPr>
        <w:t>易董研究所整理</w:t>
      </w:r>
    </w:p>
    <w:p>
      <w:pPr>
        <w:rPr>
          <w:rFonts w:ascii="宋体" w:hAnsi="宋体" w:eastAsia="宋体" w:cstheme="majorHAnsi"/>
        </w:rPr>
      </w:pPr>
    </w:p>
    <w:p>
      <w:pPr>
        <w:pStyle w:val="4"/>
      </w:pPr>
      <w:bookmarkStart w:id="18" w:name="_Toc146119251"/>
      <w:bookmarkEnd w:id="18"/>
      <w:bookmarkStart w:id="19" w:name="_Toc146119151"/>
      <w:bookmarkEnd w:id="19"/>
      <w:bookmarkStart w:id="20" w:name="_Toc145323801"/>
      <w:bookmarkStart w:id="21" w:name="_Toc146208948"/>
      <w:bookmarkStart w:id="22" w:name="_Toc148969273"/>
      <w:bookmarkStart w:id="23" w:name="_Toc147674747"/>
      <w:r>
        <w:rPr>
          <w:rFonts w:hint="eastAsia"/>
        </w:rPr>
        <w:t>工业</w:t>
      </w:r>
      <w:r>
        <w:t>上市公司</w:t>
      </w:r>
      <w:bookmarkEnd w:id="20"/>
      <w:bookmarkEnd w:id="21"/>
      <w:r>
        <w:rPr>
          <w:rFonts w:hint="eastAsia"/>
        </w:rPr>
        <w:t>继续发挥压舱石作用</w:t>
      </w:r>
      <w:bookmarkEnd w:id="22"/>
      <w:bookmarkEnd w:id="23"/>
    </w:p>
    <w:p>
      <w:pPr>
        <w:rPr>
          <w:rFonts w:ascii="宋体" w:hAnsi="宋体" w:eastAsia="宋体" w:cstheme="majorHAnsi"/>
          <w:szCs w:val="21"/>
        </w:rPr>
      </w:pPr>
      <w:r>
        <w:rPr>
          <w:rFonts w:ascii="宋体" w:hAnsi="宋体" w:eastAsia="宋体" w:cs="宋体"/>
          <w:szCs w:val="21"/>
          <w:lang w:bidi="ar"/>
        </w:rPr>
        <w:t>第二、第三产业上市公司经营保持韧性，工业上市公司继续发挥“压舱石”作用</w:t>
      </w:r>
      <w:r>
        <w:rPr>
          <w:rFonts w:hint="eastAsia" w:ascii="宋体" w:hAnsi="宋体" w:eastAsia="宋体" w:cs="宋体"/>
          <w:szCs w:val="21"/>
          <w:lang w:bidi="ar"/>
        </w:rPr>
        <w:t>。</w:t>
      </w:r>
      <w:r>
        <w:rPr>
          <w:rFonts w:ascii="宋体" w:hAnsi="宋体" w:eastAsia="宋体" w:cs="宋体"/>
          <w:szCs w:val="21"/>
          <w:lang w:bidi="ar"/>
        </w:rPr>
        <w:t>2023年上半年，第一产业上市公司实现营业收入1742.86亿元，净利润合计-109.12亿元；第二产业上市公司实现营业收入23.33万亿元，净利润合计1.31万亿元；第三产业上市公司实现营业收入11.76万亿元，净利润合计1.64万亿元。其中，第二产业中的制造业以13.21万亿元的营业收入位居榜首，占总营业收入的37.45%，第三产业中的金融业以1.32万亿的净利润位列第一，占净利润总额的44.75%。从市值来看，截至2023年8月31日，第二产业的工业上市公司总市值规模达53.74万亿元，占A股上市公司总市值的比例高达62.08%。第二、三产业上市公司依然是不断拉动经济增长的重要力量，工业上市公司继续发挥“压舱</w:t>
      </w:r>
      <w:r>
        <w:rPr>
          <w:rFonts w:ascii="宋体" w:hAnsi="宋体" w:eastAsia="宋体" w:cstheme="majorHAnsi"/>
          <w:szCs w:val="21"/>
        </w:rPr>
        <w:t>石”作用，稳固经济基本盘。</w:t>
      </w:r>
    </w:p>
    <w:p>
      <w:pPr>
        <w:pStyle w:val="7"/>
        <w:rPr>
          <w:rFonts w:ascii="宋体" w:hAnsi="宋体"/>
        </w:rPr>
      </w:pPr>
      <w:r>
        <w:rPr>
          <w:rFonts w:hint="eastAsia" w:ascii="宋体" w:hAnsi="宋体"/>
        </w:rPr>
        <w:t xml:space="preserve">表 </w:t>
      </w:r>
      <w:r>
        <w:rPr>
          <w:rFonts w:ascii="宋体" w:hAnsi="宋体"/>
        </w:rPr>
        <w:fldChar w:fldCharType="begin"/>
      </w:r>
      <w:r>
        <w:rPr>
          <w:rFonts w:ascii="宋体" w:hAnsi="宋体"/>
        </w:rPr>
        <w:instrText xml:space="preserve"> </w:instrText>
      </w:r>
      <w:r>
        <w:rPr>
          <w:rFonts w:hint="eastAsia" w:ascii="宋体" w:hAnsi="宋体"/>
        </w:rPr>
        <w:instrText xml:space="preserve">SEQ 表 \* ARABIC</w:instrText>
      </w:r>
      <w:r>
        <w:rPr>
          <w:rFonts w:ascii="宋体" w:hAnsi="宋体"/>
        </w:rPr>
        <w:instrText xml:space="preserve"> </w:instrText>
      </w:r>
      <w:r>
        <w:rPr>
          <w:rFonts w:ascii="宋体" w:hAnsi="宋体"/>
        </w:rPr>
        <w:fldChar w:fldCharType="separate"/>
      </w:r>
      <w:r>
        <w:rPr>
          <w:rFonts w:ascii="宋体" w:hAnsi="宋体"/>
        </w:rPr>
        <w:t>2</w:t>
      </w:r>
      <w:r>
        <w:rPr>
          <w:rFonts w:ascii="宋体" w:hAnsi="宋体"/>
        </w:rPr>
        <w:fldChar w:fldCharType="end"/>
      </w:r>
      <w:r>
        <w:rPr>
          <w:rFonts w:ascii="宋体" w:hAnsi="宋体"/>
        </w:rPr>
        <w:t xml:space="preserve"> </w:t>
      </w:r>
      <w:r>
        <w:rPr>
          <w:rFonts w:hint="eastAsia" w:ascii="宋体" w:hAnsi="宋体"/>
        </w:rPr>
        <w:t>三大产业上市公司经营情况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536"/>
        <w:gridCol w:w="813"/>
        <w:gridCol w:w="1314"/>
        <w:gridCol w:w="1426"/>
        <w:gridCol w:w="1623"/>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478" w:type="dxa"/>
            <w:gridSpan w:val="3"/>
            <w:tcBorders>
              <w:tl2br w:val="nil"/>
              <w:tr2bl w:val="nil"/>
            </w:tcBorders>
            <w:shd w:val="clear" w:color="auto" w:fill="E7E6E6" w:themeFill="background2"/>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产业结构</w:t>
            </w:r>
          </w:p>
        </w:tc>
        <w:tc>
          <w:tcPr>
            <w:tcW w:w="1314" w:type="dxa"/>
            <w:tcBorders>
              <w:tl2br w:val="nil"/>
              <w:tr2bl w:val="nil"/>
            </w:tcBorders>
            <w:shd w:val="clear" w:color="auto" w:fill="E7E6E6" w:themeFill="background2"/>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上市公司数量</w:t>
            </w:r>
          </w:p>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（家）</w:t>
            </w:r>
          </w:p>
        </w:tc>
        <w:tc>
          <w:tcPr>
            <w:tcW w:w="1426" w:type="dxa"/>
            <w:tcBorders>
              <w:tl2br w:val="nil"/>
              <w:tr2bl w:val="nil"/>
            </w:tcBorders>
            <w:shd w:val="clear" w:color="auto" w:fill="E7E6E6" w:themeFill="background2"/>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上市公司市值</w:t>
            </w:r>
          </w:p>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（亿元）</w:t>
            </w:r>
          </w:p>
        </w:tc>
        <w:tc>
          <w:tcPr>
            <w:tcW w:w="1623" w:type="dxa"/>
            <w:tcBorders>
              <w:tl2br w:val="nil"/>
              <w:tr2bl w:val="nil"/>
            </w:tcBorders>
            <w:shd w:val="clear" w:color="auto" w:fill="E7E6E6" w:themeFill="background2"/>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上市公司营业收入（亿元）</w:t>
            </w:r>
          </w:p>
        </w:tc>
        <w:tc>
          <w:tcPr>
            <w:tcW w:w="1455" w:type="dxa"/>
            <w:tcBorders>
              <w:tl2br w:val="nil"/>
              <w:tr2bl w:val="nil"/>
            </w:tcBorders>
            <w:shd w:val="clear" w:color="auto" w:fill="E7E6E6" w:themeFill="background2"/>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上市公司净利润</w:t>
            </w:r>
          </w:p>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478" w:type="dxa"/>
            <w:gridSpan w:val="3"/>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r>
              <w:rPr>
                <w:rFonts w:ascii="宋体" w:hAnsi="宋体" w:eastAsia="宋体" w:cstheme="majorHAnsi"/>
                <w:b/>
                <w:bCs/>
                <w:sz w:val="18"/>
                <w:szCs w:val="18"/>
              </w:rPr>
              <w:t>第一产业</w:t>
            </w:r>
          </w:p>
        </w:tc>
        <w:tc>
          <w:tcPr>
            <w:tcW w:w="1314" w:type="dxa"/>
            <w:tcBorders>
              <w:tl2br w:val="nil"/>
              <w:tr2bl w:val="nil"/>
            </w:tcBorders>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48</w:t>
            </w:r>
          </w:p>
        </w:tc>
        <w:tc>
          <w:tcPr>
            <w:tcW w:w="1426"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6464.80</w:t>
            </w:r>
          </w:p>
        </w:tc>
        <w:tc>
          <w:tcPr>
            <w:tcW w:w="1623"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1742.86</w:t>
            </w:r>
          </w:p>
        </w:tc>
        <w:tc>
          <w:tcPr>
            <w:tcW w:w="1455"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29" w:type="dxa"/>
            <w:vMerge w:val="restart"/>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r>
              <w:rPr>
                <w:rFonts w:ascii="宋体" w:hAnsi="宋体" w:eastAsia="宋体" w:cstheme="majorHAnsi"/>
                <w:b/>
                <w:bCs/>
                <w:sz w:val="18"/>
                <w:szCs w:val="18"/>
              </w:rPr>
              <w:t>第二产业</w:t>
            </w:r>
          </w:p>
        </w:tc>
        <w:tc>
          <w:tcPr>
            <w:tcW w:w="536" w:type="dxa"/>
            <w:vMerge w:val="restart"/>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r>
              <w:rPr>
                <w:rFonts w:ascii="宋体" w:hAnsi="宋体" w:eastAsia="宋体" w:cstheme="majorHAnsi"/>
                <w:b/>
                <w:bCs/>
                <w:sz w:val="18"/>
                <w:szCs w:val="18"/>
              </w:rPr>
              <w:t>工业</w:t>
            </w:r>
          </w:p>
        </w:tc>
        <w:tc>
          <w:tcPr>
            <w:tcW w:w="813" w:type="dxa"/>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r>
              <w:rPr>
                <w:rFonts w:ascii="宋体" w:hAnsi="宋体" w:eastAsia="宋体" w:cstheme="majorHAnsi"/>
                <w:b/>
                <w:bCs/>
                <w:sz w:val="18"/>
                <w:szCs w:val="18"/>
              </w:rPr>
              <w:t>制造业</w:t>
            </w:r>
          </w:p>
        </w:tc>
        <w:tc>
          <w:tcPr>
            <w:tcW w:w="1314" w:type="dxa"/>
            <w:tcBorders>
              <w:tl2br w:val="nil"/>
              <w:tr2bl w:val="nil"/>
            </w:tcBorders>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3473</w:t>
            </w:r>
          </w:p>
        </w:tc>
        <w:tc>
          <w:tcPr>
            <w:tcW w:w="1426"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454836.96</w:t>
            </w:r>
          </w:p>
        </w:tc>
        <w:tc>
          <w:tcPr>
            <w:tcW w:w="1623"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132080.22</w:t>
            </w:r>
          </w:p>
        </w:tc>
        <w:tc>
          <w:tcPr>
            <w:tcW w:w="1455"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7887.44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29" w:type="dxa"/>
            <w:vMerge w:val="continue"/>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p>
        </w:tc>
        <w:tc>
          <w:tcPr>
            <w:tcW w:w="536" w:type="dxa"/>
            <w:vMerge w:val="continue"/>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p>
        </w:tc>
        <w:tc>
          <w:tcPr>
            <w:tcW w:w="813" w:type="dxa"/>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r>
              <w:rPr>
                <w:rFonts w:ascii="宋体" w:hAnsi="宋体" w:eastAsia="宋体" w:cstheme="majorHAnsi"/>
                <w:b/>
                <w:bCs/>
                <w:sz w:val="18"/>
                <w:szCs w:val="18"/>
              </w:rPr>
              <w:t>其他</w:t>
            </w:r>
          </w:p>
        </w:tc>
        <w:tc>
          <w:tcPr>
            <w:tcW w:w="1314" w:type="dxa"/>
            <w:tcBorders>
              <w:tl2br w:val="nil"/>
              <w:tr2bl w:val="nil"/>
            </w:tcBorders>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216</w:t>
            </w:r>
          </w:p>
        </w:tc>
        <w:tc>
          <w:tcPr>
            <w:tcW w:w="1426"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82602.77</w:t>
            </w:r>
          </w:p>
        </w:tc>
        <w:tc>
          <w:tcPr>
            <w:tcW w:w="1623"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56176.98</w:t>
            </w:r>
          </w:p>
        </w:tc>
        <w:tc>
          <w:tcPr>
            <w:tcW w:w="1455"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4153.95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29" w:type="dxa"/>
            <w:vMerge w:val="continue"/>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p>
        </w:tc>
        <w:tc>
          <w:tcPr>
            <w:tcW w:w="1349" w:type="dxa"/>
            <w:gridSpan w:val="2"/>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r>
              <w:rPr>
                <w:rFonts w:ascii="宋体" w:hAnsi="宋体" w:eastAsia="宋体" w:cstheme="majorHAnsi"/>
                <w:b/>
                <w:bCs/>
                <w:sz w:val="18"/>
                <w:szCs w:val="18"/>
              </w:rPr>
              <w:t>建筑业</w:t>
            </w:r>
          </w:p>
        </w:tc>
        <w:tc>
          <w:tcPr>
            <w:tcW w:w="1314" w:type="dxa"/>
            <w:tcBorders>
              <w:tl2br w:val="nil"/>
              <w:tr2bl w:val="nil"/>
            </w:tcBorders>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108</w:t>
            </w:r>
          </w:p>
        </w:tc>
        <w:tc>
          <w:tcPr>
            <w:tcW w:w="1426"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17020.18</w:t>
            </w:r>
          </w:p>
        </w:tc>
        <w:tc>
          <w:tcPr>
            <w:tcW w:w="1623"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45073.44</w:t>
            </w:r>
          </w:p>
        </w:tc>
        <w:tc>
          <w:tcPr>
            <w:tcW w:w="1455"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1092.25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29" w:type="dxa"/>
            <w:vMerge w:val="continue"/>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p>
        </w:tc>
        <w:tc>
          <w:tcPr>
            <w:tcW w:w="1349" w:type="dxa"/>
            <w:gridSpan w:val="2"/>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r>
              <w:rPr>
                <w:rFonts w:ascii="宋体" w:hAnsi="宋体" w:eastAsia="宋体" w:cstheme="majorHAnsi"/>
                <w:b/>
                <w:bCs/>
                <w:sz w:val="18"/>
                <w:szCs w:val="18"/>
              </w:rPr>
              <w:t>小计</w:t>
            </w:r>
          </w:p>
        </w:tc>
        <w:tc>
          <w:tcPr>
            <w:tcW w:w="1314" w:type="dxa"/>
            <w:tcBorders>
              <w:tl2br w:val="nil"/>
              <w:tr2bl w:val="nil"/>
            </w:tcBorders>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3797</w:t>
            </w:r>
          </w:p>
        </w:tc>
        <w:tc>
          <w:tcPr>
            <w:tcW w:w="1426"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554459.91</w:t>
            </w:r>
          </w:p>
        </w:tc>
        <w:tc>
          <w:tcPr>
            <w:tcW w:w="1623"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233330.64</w:t>
            </w:r>
          </w:p>
        </w:tc>
        <w:tc>
          <w:tcPr>
            <w:tcW w:w="1455"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13133.64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29" w:type="dxa"/>
            <w:vMerge w:val="restart"/>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r>
              <w:rPr>
                <w:rFonts w:ascii="宋体" w:hAnsi="宋体" w:eastAsia="宋体" w:cstheme="majorHAnsi"/>
                <w:b/>
                <w:bCs/>
                <w:sz w:val="18"/>
                <w:szCs w:val="18"/>
              </w:rPr>
              <w:t>第三产业</w:t>
            </w:r>
          </w:p>
        </w:tc>
        <w:tc>
          <w:tcPr>
            <w:tcW w:w="1349" w:type="dxa"/>
            <w:gridSpan w:val="2"/>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r>
              <w:rPr>
                <w:rFonts w:ascii="宋体" w:hAnsi="宋体" w:eastAsia="宋体" w:cstheme="majorHAnsi"/>
                <w:b/>
                <w:bCs/>
                <w:sz w:val="18"/>
                <w:szCs w:val="18"/>
              </w:rPr>
              <w:t>金融业</w:t>
            </w:r>
          </w:p>
        </w:tc>
        <w:tc>
          <w:tcPr>
            <w:tcW w:w="1314" w:type="dxa"/>
            <w:tcBorders>
              <w:tl2br w:val="nil"/>
              <w:tr2bl w:val="nil"/>
            </w:tcBorders>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126</w:t>
            </w:r>
          </w:p>
        </w:tc>
        <w:tc>
          <w:tcPr>
            <w:tcW w:w="1426"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146872.89</w:t>
            </w:r>
          </w:p>
        </w:tc>
        <w:tc>
          <w:tcPr>
            <w:tcW w:w="1623"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48550.82</w:t>
            </w:r>
          </w:p>
        </w:tc>
        <w:tc>
          <w:tcPr>
            <w:tcW w:w="1455"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13204.98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29" w:type="dxa"/>
            <w:vMerge w:val="continue"/>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p>
        </w:tc>
        <w:tc>
          <w:tcPr>
            <w:tcW w:w="1349" w:type="dxa"/>
            <w:gridSpan w:val="2"/>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r>
              <w:rPr>
                <w:rFonts w:ascii="宋体" w:hAnsi="宋体" w:eastAsia="宋体" w:cstheme="majorHAnsi"/>
                <w:b/>
                <w:bCs/>
                <w:sz w:val="18"/>
                <w:szCs w:val="18"/>
              </w:rPr>
              <w:t>其他</w:t>
            </w:r>
          </w:p>
        </w:tc>
        <w:tc>
          <w:tcPr>
            <w:tcW w:w="1314" w:type="dxa"/>
            <w:tcBorders>
              <w:tl2br w:val="nil"/>
              <w:tr2bl w:val="nil"/>
            </w:tcBorders>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1224</w:t>
            </w:r>
          </w:p>
        </w:tc>
        <w:tc>
          <w:tcPr>
            <w:tcW w:w="1426"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157889.93</w:t>
            </w:r>
          </w:p>
        </w:tc>
        <w:tc>
          <w:tcPr>
            <w:tcW w:w="1623"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69095.34</w:t>
            </w:r>
          </w:p>
        </w:tc>
        <w:tc>
          <w:tcPr>
            <w:tcW w:w="1455"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3234.82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29" w:type="dxa"/>
            <w:vMerge w:val="continue"/>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p>
        </w:tc>
        <w:tc>
          <w:tcPr>
            <w:tcW w:w="1349" w:type="dxa"/>
            <w:gridSpan w:val="2"/>
            <w:tcBorders>
              <w:tl2br w:val="nil"/>
              <w:tr2bl w:val="nil"/>
            </w:tcBorders>
            <w:shd w:val="clear" w:color="auto" w:fill="auto"/>
            <w:vAlign w:val="center"/>
          </w:tcPr>
          <w:p>
            <w:pPr>
              <w:spacing w:line="240" w:lineRule="auto"/>
              <w:ind w:firstLine="0" w:firstLineChars="0"/>
              <w:jc w:val="left"/>
              <w:rPr>
                <w:rFonts w:ascii="宋体" w:hAnsi="宋体" w:eastAsia="宋体" w:cstheme="majorHAnsi"/>
                <w:b/>
                <w:bCs/>
                <w:sz w:val="18"/>
                <w:szCs w:val="18"/>
              </w:rPr>
            </w:pPr>
            <w:r>
              <w:rPr>
                <w:rFonts w:ascii="宋体" w:hAnsi="宋体" w:eastAsia="宋体" w:cstheme="majorHAnsi"/>
                <w:b/>
                <w:bCs/>
                <w:sz w:val="18"/>
                <w:szCs w:val="18"/>
              </w:rPr>
              <w:t>小计</w:t>
            </w:r>
          </w:p>
        </w:tc>
        <w:tc>
          <w:tcPr>
            <w:tcW w:w="1314" w:type="dxa"/>
            <w:tcBorders>
              <w:tl2br w:val="nil"/>
              <w:tr2bl w:val="nil"/>
            </w:tcBorders>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1350</w:t>
            </w:r>
          </w:p>
        </w:tc>
        <w:tc>
          <w:tcPr>
            <w:tcW w:w="1426"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304762.82</w:t>
            </w:r>
          </w:p>
        </w:tc>
        <w:tc>
          <w:tcPr>
            <w:tcW w:w="1623"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117646.16</w:t>
            </w:r>
          </w:p>
        </w:tc>
        <w:tc>
          <w:tcPr>
            <w:tcW w:w="1455"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16439.80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478" w:type="dxa"/>
            <w:gridSpan w:val="3"/>
            <w:tcBorders>
              <w:tl2br w:val="nil"/>
              <w:tr2bl w:val="nil"/>
            </w:tcBorders>
            <w:shd w:val="clear" w:color="auto" w:fill="auto"/>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总计</w:t>
            </w:r>
          </w:p>
        </w:tc>
        <w:tc>
          <w:tcPr>
            <w:tcW w:w="1314" w:type="dxa"/>
            <w:tcBorders>
              <w:tl2br w:val="nil"/>
              <w:tr2bl w:val="nil"/>
            </w:tcBorders>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5195</w:t>
            </w:r>
          </w:p>
        </w:tc>
        <w:tc>
          <w:tcPr>
            <w:tcW w:w="1426"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865687.53</w:t>
            </w:r>
          </w:p>
        </w:tc>
        <w:tc>
          <w:tcPr>
            <w:tcW w:w="1623"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352719.66</w:t>
            </w:r>
          </w:p>
        </w:tc>
        <w:tc>
          <w:tcPr>
            <w:tcW w:w="1455" w:type="dxa"/>
            <w:tcBorders>
              <w:tl2br w:val="nil"/>
              <w:tr2bl w:val="nil"/>
            </w:tcBorders>
            <w:shd w:val="clear" w:color="auto" w:fill="auto"/>
            <w:vAlign w:val="center"/>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29464.32</w:t>
            </w:r>
          </w:p>
        </w:tc>
      </w:tr>
    </w:tbl>
    <w:p>
      <w:pPr>
        <w:pStyle w:val="44"/>
        <w:rPr>
          <w:rFonts w:ascii="宋体" w:hAnsi="宋体"/>
        </w:rPr>
      </w:pPr>
      <w:r>
        <w:rPr>
          <w:rFonts w:ascii="宋体" w:hAnsi="宋体"/>
        </w:rPr>
        <w:t>数据来源：国家统计局</w:t>
      </w:r>
      <w:r>
        <w:rPr>
          <w:rFonts w:hint="eastAsia" w:ascii="宋体" w:hAnsi="宋体"/>
        </w:rPr>
        <w:t>、</w:t>
      </w:r>
      <w:r>
        <w:rPr>
          <w:rFonts w:ascii="宋体" w:hAnsi="宋体"/>
        </w:rPr>
        <w:t>Choice</w:t>
      </w:r>
      <w:r>
        <w:rPr>
          <w:rFonts w:hint="eastAsia" w:ascii="宋体" w:hAnsi="宋体"/>
        </w:rPr>
        <w:t>、</w:t>
      </w:r>
      <w:r>
        <w:rPr>
          <w:rFonts w:ascii="宋体" w:hAnsi="宋体"/>
        </w:rPr>
        <w:t>易董研究所整理</w:t>
      </w:r>
    </w:p>
    <w:p>
      <w:pPr>
        <w:pStyle w:val="4"/>
      </w:pPr>
      <w:bookmarkStart w:id="24" w:name="_Toc146208949"/>
      <w:bookmarkStart w:id="25" w:name="_Toc148969274"/>
      <w:bookmarkStart w:id="26" w:name="_Toc145323802"/>
      <w:bookmarkStart w:id="27" w:name="_Toc147674748"/>
      <w:r>
        <w:t>十大省份</w:t>
      </w:r>
      <w:r>
        <w:rPr>
          <w:rFonts w:hint="eastAsia"/>
        </w:rPr>
        <w:t>上市公司贡献了地区</w:t>
      </w:r>
      <w:bookmarkEnd w:id="24"/>
      <w:r>
        <w:rPr>
          <w:rFonts w:hint="eastAsia"/>
        </w:rPr>
        <w:t>24.22%的税收收入</w:t>
      </w:r>
      <w:bookmarkEnd w:id="25"/>
      <w:bookmarkEnd w:id="26"/>
      <w:bookmarkEnd w:id="27"/>
    </w:p>
    <w:p>
      <w:pPr>
        <w:rPr>
          <w:rFonts w:ascii="宋体" w:hAnsi="宋体" w:eastAsia="宋体" w:cstheme="majorHAnsi"/>
        </w:rPr>
      </w:pPr>
      <w:r>
        <w:rPr>
          <w:rFonts w:hint="eastAsia" w:ascii="宋体" w:hAnsi="宋体" w:eastAsia="宋体" w:cstheme="majorHAnsi"/>
        </w:rPr>
        <w:t>中国GDP排名前十大省份的经济发展对于全国的经济增长具有重要影响。</w:t>
      </w:r>
      <w:r>
        <w:rPr>
          <w:rFonts w:ascii="宋体" w:hAnsi="宋体" w:eastAsia="宋体" w:cstheme="majorHAnsi"/>
        </w:rPr>
        <w:t>根据各省公布的经济数据，中国GDP排名的前十大省份分别为广东、江苏、山东、浙江、河南、四川、湖北、福建、湖南和安徽（含自治区、直辖市，不含港澳台），</w:t>
      </w:r>
      <w:r>
        <w:rPr>
          <w:rFonts w:hint="eastAsia" w:ascii="宋体" w:hAnsi="宋体" w:eastAsia="宋体" w:cstheme="majorHAnsi"/>
        </w:rPr>
        <w:t>从所有省份总体经济情况来看，</w:t>
      </w:r>
      <w:r>
        <w:rPr>
          <w:rFonts w:ascii="宋体" w:hAnsi="宋体" w:eastAsia="宋体" w:cstheme="majorHAnsi"/>
        </w:rPr>
        <w:t>这十大省份GDP总量36.43万亿元，占全国GDP的61.43%；合计税收3.64万亿元，占全国税收总额的30.56%。</w:t>
      </w:r>
    </w:p>
    <w:p>
      <w:pPr>
        <w:ind w:firstLine="422"/>
        <w:rPr>
          <w:rStyle w:val="25"/>
        </w:rPr>
      </w:pPr>
      <w:r>
        <w:rPr>
          <w:rFonts w:ascii="宋体" w:hAnsi="宋体" w:eastAsia="宋体" w:cstheme="majorHAnsi"/>
          <w:b/>
          <w:bCs/>
        </w:rPr>
        <w:t>从这10个省份的A股上市公司对资本市场的贡献看，</w:t>
      </w:r>
      <w:r>
        <w:rPr>
          <w:rFonts w:ascii="宋体" w:hAnsi="宋体" w:eastAsia="宋体" w:cstheme="majorHAnsi"/>
        </w:rPr>
        <w:t>上市公司数量合计3397家，占全国A股上市公司总量的51.20%，其中民营控股企业数量合计2351家，占比71.44%；营收总量合计为14.56万亿元，占全国上市公司总营收（35.27万亿元）36.47%；净利润合计10.75万亿元，占全国上市公司净利润（2.95万亿元）34.00%；</w:t>
      </w:r>
      <w:r>
        <w:rPr>
          <w:rFonts w:hint="eastAsia" w:ascii="宋体" w:hAnsi="宋体" w:eastAsia="宋体" w:cstheme="majorHAnsi"/>
        </w:rPr>
        <w:t>上市公司税费合计8825.00亿元，占全国总税收（9.97万亿元）的8.86%，占前1</w:t>
      </w:r>
      <w:r>
        <w:rPr>
          <w:rFonts w:ascii="宋体" w:hAnsi="宋体" w:eastAsia="宋体" w:cstheme="majorHAnsi"/>
        </w:rPr>
        <w:t>0</w:t>
      </w:r>
      <w:r>
        <w:rPr>
          <w:rFonts w:hint="eastAsia" w:ascii="宋体" w:hAnsi="宋体" w:eastAsia="宋体" w:cstheme="majorHAnsi"/>
        </w:rPr>
        <w:t>大省份缴纳的总税收（3.64万亿元）的24.22%，这些上市公司在为国家税收做出贡献的同时，也通过自身的经营和发展，推动了当地经济的持续发展。</w:t>
      </w:r>
    </w:p>
    <w:p>
      <w:pPr>
        <w:rPr>
          <w:rStyle w:val="25"/>
          <w:rFonts w:ascii="宋体" w:hAnsi="宋体" w:eastAsia="宋体" w:cstheme="majorHAnsi"/>
        </w:rPr>
      </w:pPr>
      <w:r>
        <w:rPr>
          <w:rStyle w:val="25"/>
          <w:rFonts w:hint="eastAsia" w:ascii="宋体" w:hAnsi="宋体" w:eastAsia="宋体" w:cstheme="majorHAnsi"/>
        </w:rPr>
        <w:t>GDP排名前10的省份可以分为三大类型，第一类是GDP超过</w:t>
      </w:r>
      <w:r>
        <w:rPr>
          <w:rStyle w:val="25"/>
          <w:rFonts w:ascii="宋体" w:hAnsi="宋体" w:eastAsia="宋体" w:cstheme="majorHAnsi"/>
        </w:rPr>
        <w:t>6</w:t>
      </w:r>
      <w:r>
        <w:rPr>
          <w:rStyle w:val="25"/>
          <w:rFonts w:hint="eastAsia" w:ascii="宋体" w:hAnsi="宋体" w:eastAsia="宋体" w:cstheme="majorHAnsi"/>
        </w:rPr>
        <w:t>万亿元的2个省份，分别是广东省和江苏省，</w:t>
      </w:r>
      <w:r>
        <w:rPr>
          <w:rStyle w:val="25"/>
          <w:rFonts w:ascii="宋体" w:hAnsi="宋体" w:eastAsia="宋体" w:cstheme="majorHAnsi"/>
        </w:rPr>
        <w:t>2省</w:t>
      </w:r>
      <w:r>
        <w:rPr>
          <w:rStyle w:val="25"/>
          <w:rFonts w:hint="eastAsia" w:ascii="宋体" w:hAnsi="宋体"/>
        </w:rPr>
        <w:t>上市公司</w:t>
      </w:r>
      <w:r>
        <w:rPr>
          <w:rStyle w:val="25"/>
          <w:rFonts w:hint="eastAsia" w:ascii="宋体" w:hAnsi="宋体" w:eastAsia="宋体" w:cstheme="majorHAnsi"/>
        </w:rPr>
        <w:t>合计市值</w:t>
      </w:r>
      <w:r>
        <w:rPr>
          <w:rStyle w:val="25"/>
          <w:rFonts w:ascii="宋体" w:hAnsi="宋体" w:eastAsia="宋体" w:cstheme="majorHAnsi"/>
        </w:rPr>
        <w:t>20.34</w:t>
      </w:r>
      <w:r>
        <w:rPr>
          <w:rStyle w:val="25"/>
          <w:rFonts w:hint="eastAsia" w:ascii="宋体" w:hAnsi="宋体" w:eastAsia="宋体" w:cstheme="majorHAnsi"/>
        </w:rPr>
        <w:t>万亿，合计营收</w:t>
      </w:r>
      <w:r>
        <w:rPr>
          <w:rStyle w:val="25"/>
          <w:rFonts w:ascii="宋体" w:hAnsi="宋体" w:eastAsia="宋体" w:cstheme="majorHAnsi"/>
        </w:rPr>
        <w:t>6.32</w:t>
      </w:r>
      <w:r>
        <w:rPr>
          <w:rStyle w:val="25"/>
          <w:rFonts w:hint="eastAsia" w:ascii="宋体" w:hAnsi="宋体" w:eastAsia="宋体" w:cstheme="majorHAnsi"/>
        </w:rPr>
        <w:t>万亿，合计缴纳的税费占其总税收的</w:t>
      </w:r>
      <w:r>
        <w:rPr>
          <w:rStyle w:val="25"/>
          <w:rFonts w:ascii="宋体" w:hAnsi="宋体" w:eastAsia="宋体" w:cstheme="majorHAnsi"/>
        </w:rPr>
        <w:t>34.56</w:t>
      </w:r>
      <w:r>
        <w:rPr>
          <w:rStyle w:val="25"/>
          <w:rFonts w:hint="eastAsia" w:ascii="宋体" w:hAnsi="宋体" w:eastAsia="宋体" w:cstheme="majorHAnsi"/>
        </w:rPr>
        <w:t>%；第二类是G</w:t>
      </w:r>
      <w:r>
        <w:rPr>
          <w:rStyle w:val="25"/>
          <w:rFonts w:ascii="宋体" w:hAnsi="宋体" w:eastAsia="宋体" w:cstheme="majorHAnsi"/>
        </w:rPr>
        <w:t>DP</w:t>
      </w:r>
      <w:r>
        <w:rPr>
          <w:rStyle w:val="25"/>
          <w:rFonts w:hint="eastAsia" w:ascii="宋体" w:hAnsi="宋体" w:eastAsia="宋体" w:cstheme="majorHAnsi"/>
        </w:rPr>
        <w:t>在2</w:t>
      </w:r>
      <w:r>
        <w:rPr>
          <w:rStyle w:val="25"/>
          <w:rFonts w:ascii="宋体" w:hAnsi="宋体" w:eastAsia="宋体" w:cstheme="majorHAnsi"/>
        </w:rPr>
        <w:t>.5</w:t>
      </w:r>
      <w:r>
        <w:rPr>
          <w:rStyle w:val="25"/>
          <w:rFonts w:hint="eastAsia" w:ascii="宋体" w:hAnsi="宋体" w:eastAsia="宋体" w:cstheme="majorHAnsi"/>
        </w:rPr>
        <w:t>万亿元到6万亿元的6个省份，分别是山东省、浙江省、河南省、四川省、湖北省、福建省</w:t>
      </w:r>
      <w:r>
        <w:rPr>
          <w:rStyle w:val="25"/>
          <w:rFonts w:hint="eastAsia" w:ascii="宋体" w:hAnsi="宋体"/>
        </w:rPr>
        <w:t>，</w:t>
      </w:r>
      <w:r>
        <w:rPr>
          <w:rStyle w:val="25"/>
          <w:rFonts w:ascii="宋体" w:hAnsi="宋体" w:eastAsia="宋体" w:cstheme="majorHAnsi"/>
        </w:rPr>
        <w:t>6省</w:t>
      </w:r>
      <w:r>
        <w:rPr>
          <w:rStyle w:val="25"/>
          <w:rFonts w:hint="eastAsia" w:ascii="宋体" w:hAnsi="宋体"/>
        </w:rPr>
        <w:t>上市公司</w:t>
      </w:r>
      <w:r>
        <w:rPr>
          <w:rStyle w:val="25"/>
          <w:rFonts w:hint="eastAsia" w:ascii="宋体" w:hAnsi="宋体" w:eastAsia="宋体" w:cstheme="majorHAnsi"/>
        </w:rPr>
        <w:t>合计市值</w:t>
      </w:r>
      <w:r>
        <w:rPr>
          <w:rStyle w:val="25"/>
          <w:rFonts w:ascii="宋体" w:hAnsi="宋体" w:eastAsia="宋体" w:cstheme="majorHAnsi"/>
        </w:rPr>
        <w:t>19.53</w:t>
      </w:r>
      <w:r>
        <w:rPr>
          <w:rStyle w:val="25"/>
          <w:rFonts w:hint="eastAsia" w:ascii="宋体" w:hAnsi="宋体" w:eastAsia="宋体" w:cstheme="majorHAnsi"/>
        </w:rPr>
        <w:t>万亿，合计营收</w:t>
      </w:r>
      <w:r>
        <w:rPr>
          <w:rStyle w:val="25"/>
          <w:rFonts w:ascii="宋体" w:hAnsi="宋体" w:eastAsia="宋体" w:cstheme="majorHAnsi"/>
        </w:rPr>
        <w:t>7.12</w:t>
      </w:r>
      <w:r>
        <w:rPr>
          <w:rStyle w:val="25"/>
          <w:rFonts w:hint="eastAsia" w:ascii="宋体" w:hAnsi="宋体" w:eastAsia="宋体" w:cstheme="majorHAnsi"/>
        </w:rPr>
        <w:t>万亿，合计缴纳</w:t>
      </w:r>
      <w:r>
        <w:rPr>
          <w:rStyle w:val="25"/>
          <w:rFonts w:hint="eastAsia" w:ascii="宋体" w:hAnsi="宋体"/>
        </w:rPr>
        <w:t>税费占其总税收的</w:t>
      </w:r>
      <w:r>
        <w:rPr>
          <w:rStyle w:val="25"/>
          <w:rFonts w:ascii="宋体" w:hAnsi="宋体"/>
        </w:rPr>
        <w:t>19.34%；</w:t>
      </w:r>
      <w:r>
        <w:rPr>
          <w:rStyle w:val="25"/>
          <w:rFonts w:hint="eastAsia" w:ascii="宋体" w:hAnsi="宋体" w:eastAsia="宋体" w:cstheme="majorHAnsi"/>
        </w:rPr>
        <w:t>第三类是GDP在</w:t>
      </w:r>
      <w:r>
        <w:rPr>
          <w:rStyle w:val="25"/>
          <w:rFonts w:ascii="宋体" w:hAnsi="宋体" w:eastAsia="宋体" w:cstheme="majorHAnsi"/>
        </w:rPr>
        <w:t>2</w:t>
      </w:r>
      <w:r>
        <w:rPr>
          <w:rStyle w:val="25"/>
          <w:rFonts w:hint="eastAsia" w:ascii="宋体" w:hAnsi="宋体" w:eastAsia="宋体" w:cstheme="majorHAnsi"/>
        </w:rPr>
        <w:t>万亿元至2</w:t>
      </w:r>
      <w:r>
        <w:rPr>
          <w:rStyle w:val="25"/>
          <w:rFonts w:ascii="宋体" w:hAnsi="宋体" w:eastAsia="宋体" w:cstheme="majorHAnsi"/>
        </w:rPr>
        <w:t>.</w:t>
      </w:r>
      <w:r>
        <w:rPr>
          <w:rStyle w:val="25"/>
          <w:rFonts w:hint="eastAsia" w:ascii="宋体" w:hAnsi="宋体" w:eastAsia="宋体" w:cstheme="majorHAnsi"/>
        </w:rPr>
        <w:t>5万亿元之间的2个省份，分别是湖南省和安徽省，2省</w:t>
      </w:r>
      <w:r>
        <w:rPr>
          <w:rStyle w:val="25"/>
          <w:rFonts w:hint="eastAsia" w:ascii="宋体" w:hAnsi="宋体"/>
        </w:rPr>
        <w:t>上市公司</w:t>
      </w:r>
      <w:r>
        <w:rPr>
          <w:rStyle w:val="25"/>
          <w:rFonts w:hint="eastAsia" w:ascii="宋体" w:hAnsi="宋体" w:eastAsia="宋体" w:cstheme="majorHAnsi"/>
        </w:rPr>
        <w:t>合计市值</w:t>
      </w:r>
      <w:r>
        <w:rPr>
          <w:rStyle w:val="25"/>
          <w:rFonts w:ascii="宋体" w:hAnsi="宋体" w:eastAsia="宋体" w:cstheme="majorHAnsi"/>
        </w:rPr>
        <w:t>3.50</w:t>
      </w:r>
      <w:r>
        <w:rPr>
          <w:rStyle w:val="25"/>
          <w:rFonts w:hint="eastAsia" w:ascii="宋体" w:hAnsi="宋体" w:eastAsia="宋体" w:cstheme="majorHAnsi"/>
        </w:rPr>
        <w:t>万亿，合计营收</w:t>
      </w:r>
      <w:r>
        <w:rPr>
          <w:rStyle w:val="25"/>
          <w:rFonts w:ascii="宋体" w:hAnsi="宋体" w:eastAsia="宋体" w:cstheme="majorHAnsi"/>
        </w:rPr>
        <w:t>1.13</w:t>
      </w:r>
      <w:r>
        <w:rPr>
          <w:rStyle w:val="25"/>
          <w:rFonts w:hint="eastAsia" w:ascii="宋体" w:hAnsi="宋体" w:eastAsia="宋体" w:cstheme="majorHAnsi"/>
        </w:rPr>
        <w:t>万亿，合计缴纳的税费占其总税收的</w:t>
      </w:r>
      <w:r>
        <w:rPr>
          <w:rStyle w:val="25"/>
          <w:rFonts w:ascii="宋体" w:hAnsi="宋体" w:eastAsia="宋体" w:cstheme="majorHAnsi"/>
        </w:rPr>
        <w:t>15.13</w:t>
      </w:r>
      <w:r>
        <w:rPr>
          <w:rStyle w:val="25"/>
          <w:rFonts w:hint="eastAsia" w:ascii="宋体" w:hAnsi="宋体" w:eastAsia="宋体" w:cstheme="majorHAnsi"/>
        </w:rPr>
        <w:t>%。</w:t>
      </w:r>
    </w:p>
    <w:p>
      <w:pPr>
        <w:rPr>
          <w:rStyle w:val="25"/>
          <w:rFonts w:ascii="宋体" w:hAnsi="宋体" w:eastAsia="宋体" w:cstheme="majorHAnsi"/>
        </w:rPr>
      </w:pPr>
      <w:r>
        <w:rPr>
          <w:rStyle w:val="25"/>
          <w:rFonts w:ascii="宋体" w:hAnsi="宋体" w:eastAsia="宋体" w:cstheme="majorHAnsi"/>
        </w:rPr>
        <w:t>上述省份中以广东省和福建省缴纳税费占比最为突出，分别是47.98%和31.53%。广东省842家上市公司中，市值在500以上的35家上市公司总缴纳税费2330.88亿元，占比68.18%。福建省169家上市公司中缴纳税费占总缴纳金额比超过10%的公司有兴业银行、建发股份、宁德时代、紫金矿业四家，占比30.53%、14.86%、13.65%、10.03%，均为高市值上市公司，市值为3284.41亿元、326.36亿元、10399.43亿元、3192.91亿元</w:t>
      </w:r>
      <w:r>
        <w:rPr>
          <w:rStyle w:val="25"/>
          <w:rFonts w:hint="eastAsia" w:ascii="宋体" w:hAnsi="宋体" w:eastAsia="宋体" w:cstheme="majorHAnsi"/>
        </w:rPr>
        <w:t>，有力推动地区发展。</w:t>
      </w:r>
    </w:p>
    <w:p>
      <w:pPr>
        <w:pStyle w:val="4"/>
        <w:ind w:firstLine="0"/>
      </w:pPr>
      <w:bookmarkStart w:id="28" w:name="_Toc148969275"/>
      <w:r>
        <w:rPr>
          <w:rFonts w:hint="eastAsia"/>
        </w:rPr>
        <w:t>十大行业研发投入增长超过11%</w:t>
      </w:r>
      <w:bookmarkEnd w:id="28"/>
    </w:p>
    <w:p>
      <w:pPr>
        <w:rPr>
          <w:rFonts w:ascii="宋体" w:hAnsi="宋体" w:eastAsia="宋体" w:cstheme="majorHAnsi"/>
        </w:rPr>
      </w:pPr>
      <w:r>
        <w:rPr>
          <w:rFonts w:ascii="宋体" w:hAnsi="宋体" w:eastAsia="宋体" w:cstheme="majorHAnsi"/>
        </w:rPr>
        <w:t>上市公司需要</w:t>
      </w:r>
      <w:r>
        <w:rPr>
          <w:rFonts w:hint="eastAsia" w:ascii="宋体" w:hAnsi="宋体" w:eastAsia="宋体" w:cstheme="majorHAnsi"/>
        </w:rPr>
        <w:t>持续加大</w:t>
      </w:r>
      <w:r>
        <w:rPr>
          <w:rFonts w:ascii="宋体" w:hAnsi="宋体" w:eastAsia="宋体" w:cstheme="majorHAnsi"/>
        </w:rPr>
        <w:t>研发投入，打造第二增长曲线，发挥科技引领支撑作用。</w:t>
      </w:r>
      <w:r>
        <w:rPr>
          <w:rFonts w:hint="eastAsia" w:ascii="宋体" w:hAnsi="宋体" w:eastAsia="宋体" w:cstheme="majorHAnsi"/>
        </w:rPr>
        <w:t>2</w:t>
      </w:r>
      <w:r>
        <w:rPr>
          <w:rFonts w:ascii="宋体" w:hAnsi="宋体" w:eastAsia="宋体" w:cstheme="majorHAnsi"/>
        </w:rPr>
        <w:t>023</w:t>
      </w:r>
      <w:r>
        <w:rPr>
          <w:rFonts w:hint="eastAsia" w:ascii="宋体" w:hAnsi="宋体" w:eastAsia="宋体" w:cstheme="majorHAnsi"/>
        </w:rPr>
        <w:t>年上半年，在</w:t>
      </w:r>
      <w:r>
        <w:rPr>
          <w:rFonts w:ascii="宋体" w:hAnsi="宋体" w:eastAsia="宋体" w:cstheme="majorHAnsi"/>
        </w:rPr>
        <w:t>不含银行的30个申万一级行业中，24个行业（占比80%）</w:t>
      </w:r>
      <w:r>
        <w:rPr>
          <w:rFonts w:hint="eastAsia" w:ascii="宋体" w:hAnsi="宋体" w:eastAsia="宋体" w:cstheme="majorHAnsi"/>
        </w:rPr>
        <w:t>中，有1</w:t>
      </w:r>
      <w:r>
        <w:rPr>
          <w:rFonts w:ascii="宋体" w:hAnsi="宋体" w:eastAsia="宋体" w:cstheme="majorHAnsi"/>
        </w:rPr>
        <w:t>0</w:t>
      </w:r>
      <w:r>
        <w:rPr>
          <w:rFonts w:hint="eastAsia" w:ascii="宋体" w:hAnsi="宋体" w:eastAsia="宋体" w:cstheme="majorHAnsi"/>
        </w:rPr>
        <w:t>大行业研发投入增长超过11%，其研发投入总额为</w:t>
      </w:r>
      <w:r>
        <w:rPr>
          <w:rFonts w:ascii="宋体" w:hAnsi="宋体" w:eastAsia="宋体" w:cstheme="majorHAnsi"/>
        </w:rPr>
        <w:t>4259.14</w:t>
      </w:r>
      <w:r>
        <w:rPr>
          <w:rFonts w:hint="eastAsia" w:ascii="宋体" w:hAnsi="宋体" w:eastAsia="宋体" w:cstheme="majorHAnsi"/>
        </w:rPr>
        <w:t>亿元，占A股研发投入总规模的</w:t>
      </w:r>
      <w:r>
        <w:rPr>
          <w:rFonts w:ascii="宋体" w:hAnsi="宋体" w:eastAsia="宋体" w:cstheme="majorHAnsi"/>
        </w:rPr>
        <w:t>60.32%</w:t>
      </w:r>
      <w:r>
        <w:rPr>
          <w:rFonts w:hint="eastAsia" w:ascii="宋体" w:hAnsi="宋体" w:eastAsia="宋体" w:cstheme="majorHAnsi"/>
        </w:rPr>
        <w:t>。</w:t>
      </w:r>
      <w:r>
        <w:rPr>
          <w:rFonts w:ascii="宋体" w:hAnsi="宋体" w:eastAsia="宋体" w:cstheme="majorHAnsi"/>
        </w:rPr>
        <w:t>研发支出增速</w:t>
      </w:r>
      <w:r>
        <w:rPr>
          <w:rFonts w:hint="eastAsia" w:ascii="宋体" w:hAnsi="宋体" w:eastAsia="宋体" w:cstheme="majorHAnsi"/>
        </w:rPr>
        <w:t>排名前5行业分别为交通运输（</w:t>
      </w:r>
      <w:r>
        <w:rPr>
          <w:rFonts w:ascii="宋体" w:hAnsi="宋体" w:eastAsia="宋体" w:cstheme="majorHAnsi"/>
        </w:rPr>
        <w:t>51.36%</w:t>
      </w:r>
      <w:r>
        <w:rPr>
          <w:rFonts w:hint="eastAsia" w:ascii="宋体" w:hAnsi="宋体" w:eastAsia="宋体" w:cstheme="majorHAnsi"/>
        </w:rPr>
        <w:t>）、汽车（</w:t>
      </w:r>
      <w:r>
        <w:rPr>
          <w:rFonts w:ascii="宋体" w:hAnsi="宋体" w:eastAsia="宋体" w:cstheme="majorHAnsi"/>
        </w:rPr>
        <w:t>28.40%</w:t>
      </w:r>
      <w:r>
        <w:rPr>
          <w:rFonts w:hint="eastAsia" w:ascii="宋体" w:hAnsi="宋体" w:eastAsia="宋体" w:cstheme="majorHAnsi"/>
        </w:rPr>
        <w:t>）、电力设备（</w:t>
      </w:r>
      <w:r>
        <w:rPr>
          <w:rFonts w:ascii="宋体" w:hAnsi="宋体" w:eastAsia="宋体" w:cstheme="majorHAnsi"/>
        </w:rPr>
        <w:t>22.98%</w:t>
      </w:r>
      <w:r>
        <w:rPr>
          <w:rFonts w:hint="eastAsia" w:ascii="宋体" w:hAnsi="宋体" w:eastAsia="宋体" w:cstheme="majorHAnsi"/>
        </w:rPr>
        <w:t>）、国防军工（</w:t>
      </w:r>
      <w:r>
        <w:rPr>
          <w:rFonts w:ascii="宋体" w:hAnsi="宋体" w:eastAsia="宋体" w:cstheme="majorHAnsi"/>
        </w:rPr>
        <w:t>22.15%</w:t>
      </w:r>
      <w:r>
        <w:rPr>
          <w:rFonts w:hint="eastAsia" w:ascii="宋体" w:hAnsi="宋体" w:eastAsia="宋体" w:cstheme="majorHAnsi"/>
        </w:rPr>
        <w:t>）、公用事业（</w:t>
      </w:r>
      <w:r>
        <w:rPr>
          <w:rFonts w:ascii="宋体" w:hAnsi="宋体" w:eastAsia="宋体" w:cstheme="majorHAnsi"/>
        </w:rPr>
        <w:t>21.38%</w:t>
      </w:r>
      <w:r>
        <w:rPr>
          <w:rFonts w:hint="eastAsia" w:ascii="宋体" w:hAnsi="宋体" w:eastAsia="宋体" w:cstheme="majorHAnsi"/>
        </w:rPr>
        <w:t>）。有</w:t>
      </w:r>
      <w:r>
        <w:rPr>
          <w:rFonts w:ascii="宋体" w:hAnsi="宋体" w:eastAsia="宋体" w:cstheme="majorHAnsi"/>
        </w:rPr>
        <w:t>6</w:t>
      </w:r>
      <w:r>
        <w:rPr>
          <w:rFonts w:hint="eastAsia" w:ascii="宋体" w:hAnsi="宋体" w:eastAsia="宋体" w:cstheme="majorHAnsi"/>
        </w:rPr>
        <w:t>个行业研发支出同比下降，分别为钢铁（</w:t>
      </w:r>
      <w:r>
        <w:rPr>
          <w:rFonts w:ascii="宋体" w:hAnsi="宋体" w:eastAsia="宋体" w:cstheme="majorHAnsi"/>
        </w:rPr>
        <w:t>-27.81%</w:t>
      </w:r>
      <w:r>
        <w:rPr>
          <w:rFonts w:hint="eastAsia" w:ascii="宋体" w:hAnsi="宋体" w:eastAsia="宋体" w:cstheme="majorHAnsi"/>
        </w:rPr>
        <w:t>）、社会服务（</w:t>
      </w:r>
      <w:r>
        <w:rPr>
          <w:rFonts w:ascii="宋体" w:hAnsi="宋体" w:eastAsia="宋体" w:cstheme="majorHAnsi"/>
        </w:rPr>
        <w:t>-7.70%</w:t>
      </w:r>
      <w:r>
        <w:rPr>
          <w:rFonts w:hint="eastAsia" w:ascii="宋体" w:hAnsi="宋体" w:eastAsia="宋体" w:cstheme="majorHAnsi"/>
        </w:rPr>
        <w:t>）、商贸零售（</w:t>
      </w:r>
      <w:r>
        <w:rPr>
          <w:rFonts w:ascii="宋体" w:hAnsi="宋体" w:eastAsia="宋体" w:cstheme="majorHAnsi"/>
        </w:rPr>
        <w:t>-7.12%</w:t>
      </w:r>
      <w:r>
        <w:rPr>
          <w:rFonts w:hint="eastAsia" w:ascii="宋体" w:hAnsi="宋体" w:eastAsia="宋体" w:cstheme="majorHAnsi"/>
        </w:rPr>
        <w:t>）、传媒（</w:t>
      </w:r>
      <w:r>
        <w:rPr>
          <w:rFonts w:ascii="宋体" w:hAnsi="宋体" w:eastAsia="宋体" w:cstheme="majorHAnsi"/>
        </w:rPr>
        <w:t>-3.40%</w:t>
      </w:r>
      <w:r>
        <w:rPr>
          <w:rFonts w:hint="eastAsia" w:ascii="宋体" w:hAnsi="宋体" w:eastAsia="宋体" w:cstheme="majorHAnsi"/>
        </w:rPr>
        <w:t>）、轻工制造（</w:t>
      </w:r>
      <w:r>
        <w:rPr>
          <w:rFonts w:ascii="宋体" w:hAnsi="宋体" w:eastAsia="宋体" w:cstheme="majorHAnsi"/>
        </w:rPr>
        <w:t>-2.77%</w:t>
      </w:r>
      <w:r>
        <w:rPr>
          <w:rFonts w:hint="eastAsia" w:ascii="宋体" w:hAnsi="宋体" w:eastAsia="宋体" w:cstheme="majorHAnsi"/>
        </w:rPr>
        <w:t>）、房地产（-0.81%）。同时，电子、医药生物、电力设备行业具有较大的体量和规模，总市值分别为</w:t>
      </w:r>
      <w:r>
        <w:rPr>
          <w:rFonts w:ascii="宋体" w:hAnsi="宋体" w:eastAsia="宋体" w:cstheme="majorHAnsi"/>
        </w:rPr>
        <w:t>663</w:t>
      </w:r>
      <w:r>
        <w:rPr>
          <w:rFonts w:hint="eastAsia" w:ascii="宋体" w:hAnsi="宋体" w:eastAsia="宋体" w:cstheme="majorHAnsi"/>
        </w:rPr>
        <w:t>78.21亿、63355.60亿、</w:t>
      </w:r>
      <w:r>
        <w:rPr>
          <w:rFonts w:ascii="宋体" w:hAnsi="宋体" w:eastAsia="宋体" w:cstheme="majorHAnsi"/>
        </w:rPr>
        <w:t>61421.55</w:t>
      </w:r>
      <w:r>
        <w:rPr>
          <w:rFonts w:hint="eastAsia" w:ascii="宋体" w:hAnsi="宋体" w:eastAsia="宋体" w:cstheme="majorHAnsi"/>
        </w:rPr>
        <w:t>亿，上市公司家数分别为453家、484家、</w:t>
      </w:r>
      <w:r>
        <w:rPr>
          <w:rFonts w:ascii="宋体" w:hAnsi="宋体" w:eastAsia="宋体" w:cstheme="majorHAnsi"/>
        </w:rPr>
        <w:t>354</w:t>
      </w:r>
      <w:r>
        <w:rPr>
          <w:rFonts w:hint="eastAsia" w:ascii="宋体" w:hAnsi="宋体" w:eastAsia="宋体" w:cstheme="majorHAnsi"/>
        </w:rPr>
        <w:t>家，其研发支出增长对经济发展具有重大作用。</w:t>
      </w:r>
    </w:p>
    <w:p>
      <w:pPr>
        <w:rPr>
          <w:rFonts w:ascii="宋体" w:hAnsi="宋体" w:eastAsia="宋体" w:cstheme="majorHAnsi"/>
        </w:rPr>
      </w:pPr>
      <w:r>
        <w:rPr>
          <w:rFonts w:hint="eastAsia" w:ascii="宋体" w:hAnsi="宋体" w:eastAsia="宋体" w:cstheme="majorHAnsi"/>
        </w:rPr>
        <w:t>整体上看，上市公司积极响应国家战略，节能环保、新一代信息技术、生物、高端装备制造、新能源等战略新兴行业整体研发支出增长较大，包括交通运输、汽车、电力设备、通信、医药生物、机械设备、有色金属、计算机、电子等行业，在科技创新方面投入了大量资金并保持了较高的增长速度，对经济社会全局和长远发展具有重大引领带动作用。</w:t>
      </w:r>
    </w:p>
    <w:p>
      <w:pPr>
        <w:pStyle w:val="4"/>
        <w:ind w:hanging="14"/>
      </w:pPr>
      <w:bookmarkStart w:id="29" w:name="_Toc148969276"/>
      <w:r>
        <w:t>科创板研发投入表现保持较高水平</w:t>
      </w:r>
      <w:bookmarkEnd w:id="29"/>
    </w:p>
    <w:p>
      <w:pPr>
        <w:rPr>
          <w:rFonts w:ascii="宋体" w:hAnsi="宋体" w:eastAsia="宋体" w:cstheme="majorHAnsi"/>
        </w:rPr>
      </w:pPr>
      <w:r>
        <w:rPr>
          <w:rFonts w:ascii="宋体" w:hAnsi="宋体" w:eastAsia="宋体" w:cstheme="majorHAnsi"/>
        </w:rPr>
        <w:t>从板块分布来看，2023年上半年，主板研发投入合计5449.71亿元（沪主板3093.99亿元，深主板2355.72亿元），同比增长9.47%。创业板研发投入共计762.26亿元，相较于2022年上半年，同比增长16.32%。科创板研发支出合计588.80亿元，同比增速为17.70%。北交所研发支出合计31.20亿元，同比增长3.41%。</w:t>
      </w:r>
      <w:r>
        <w:rPr>
          <w:rFonts w:ascii="宋体" w:hAnsi="宋体" w:eastAsia="宋体" w:cstheme="majorHAnsi"/>
          <w:b/>
          <w:bCs/>
        </w:rPr>
        <w:t>科创板上市公司研发投入表现保持较高水平，同比增速和研发投入占营业收入的比例均位列首位</w:t>
      </w:r>
      <w:r>
        <w:rPr>
          <w:rFonts w:hint="eastAsia" w:ascii="宋体" w:hAnsi="宋体" w:eastAsia="宋体" w:cstheme="majorHAnsi"/>
          <w:b/>
          <w:bCs/>
        </w:rPr>
        <w:t>，</w:t>
      </w:r>
      <w:r>
        <w:rPr>
          <w:rFonts w:hint="eastAsia" w:ascii="宋体" w:hAnsi="宋体" w:eastAsia="宋体" w:cstheme="majorHAnsi"/>
        </w:rPr>
        <w:t>科创板中长期发展潜力可期，从科技创新方向助力打造</w:t>
      </w:r>
      <w:r>
        <w:rPr>
          <w:rFonts w:ascii="宋体" w:hAnsi="宋体" w:eastAsia="宋体" w:cstheme="majorHAnsi"/>
        </w:rPr>
        <w:t>我国资本市场的</w:t>
      </w:r>
      <w:r>
        <w:rPr>
          <w:rFonts w:hint="eastAsia" w:ascii="宋体" w:hAnsi="宋体" w:eastAsia="宋体" w:cstheme="majorHAnsi"/>
        </w:rPr>
        <w:t>重要发展驱动力。</w:t>
      </w:r>
    </w:p>
    <w:p>
      <w:pPr>
        <w:pStyle w:val="7"/>
      </w:pPr>
      <w:r>
        <w:rPr>
          <w:rFonts w:hint="eastAsia" w:ascii="宋体" w:hAnsi="宋体"/>
        </w:rPr>
        <w:t xml:space="preserve">表 </w:t>
      </w:r>
      <w:r>
        <w:rPr>
          <w:rFonts w:ascii="宋体" w:hAnsi="宋体"/>
        </w:rPr>
        <w:fldChar w:fldCharType="begin"/>
      </w:r>
      <w:r>
        <w:rPr>
          <w:rFonts w:ascii="宋体" w:hAnsi="宋体"/>
        </w:rPr>
        <w:instrText xml:space="preserve"> </w:instrText>
      </w:r>
      <w:r>
        <w:rPr>
          <w:rFonts w:hint="eastAsia" w:ascii="宋体" w:hAnsi="宋体"/>
        </w:rPr>
        <w:instrText xml:space="preserve">SEQ 表 \* ARABIC</w:instrText>
      </w:r>
      <w:r>
        <w:rPr>
          <w:rFonts w:ascii="宋体" w:hAnsi="宋体"/>
        </w:rPr>
        <w:instrText xml:space="preserve"> </w:instrText>
      </w:r>
      <w:r>
        <w:rPr>
          <w:rFonts w:ascii="宋体" w:hAnsi="宋体"/>
        </w:rPr>
        <w:fldChar w:fldCharType="separate"/>
      </w:r>
      <w:r>
        <w:rPr>
          <w:rFonts w:ascii="宋体" w:hAnsi="宋体"/>
        </w:rPr>
        <w:t>3</w:t>
      </w:r>
      <w:r>
        <w:rPr>
          <w:rFonts w:ascii="宋体" w:hAnsi="宋体"/>
        </w:rPr>
        <w:fldChar w:fldCharType="end"/>
      </w:r>
      <w:r>
        <w:rPr>
          <w:rFonts w:ascii="宋体" w:hAnsi="宋体"/>
        </w:rPr>
        <w:t xml:space="preserve"> </w:t>
      </w:r>
      <w:r>
        <w:rPr>
          <w:rFonts w:hint="eastAsia" w:ascii="宋体" w:hAnsi="宋体"/>
        </w:rPr>
        <w:t>不同板块研发投入情况</w:t>
      </w:r>
    </w:p>
    <w:tbl>
      <w:tblPr>
        <w:tblStyle w:val="18"/>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795"/>
        <w:gridCol w:w="1191"/>
        <w:gridCol w:w="1191"/>
        <w:gridCol w:w="912"/>
        <w:gridCol w:w="1361"/>
        <w:gridCol w:w="1247"/>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61" w:type="dxa"/>
            <w:shd w:val="clear" w:color="auto" w:fill="E7E6E6" w:themeFill="background2"/>
            <w:noWrap/>
            <w:vAlign w:val="center"/>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所属</w:t>
            </w:r>
          </w:p>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板块</w:t>
            </w:r>
          </w:p>
        </w:tc>
        <w:tc>
          <w:tcPr>
            <w:tcW w:w="795" w:type="dxa"/>
            <w:shd w:val="clear" w:color="auto" w:fill="E7E6E6" w:themeFill="background2"/>
            <w:noWrap/>
            <w:vAlign w:val="center"/>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上市公司数量（家）</w:t>
            </w:r>
          </w:p>
        </w:tc>
        <w:tc>
          <w:tcPr>
            <w:tcW w:w="1191" w:type="dxa"/>
            <w:shd w:val="clear" w:color="auto" w:fill="E7E6E6" w:themeFill="background2"/>
            <w:noWrap/>
            <w:vAlign w:val="center"/>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2022年半年度研发支出合计（亿元）</w:t>
            </w:r>
          </w:p>
        </w:tc>
        <w:tc>
          <w:tcPr>
            <w:tcW w:w="1191" w:type="dxa"/>
            <w:shd w:val="clear" w:color="auto" w:fill="E7E6E6" w:themeFill="background2"/>
            <w:noWrap/>
            <w:vAlign w:val="center"/>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2023年半年度研发支出合计（亿元）</w:t>
            </w:r>
          </w:p>
        </w:tc>
        <w:tc>
          <w:tcPr>
            <w:tcW w:w="912" w:type="dxa"/>
            <w:shd w:val="clear" w:color="auto" w:fill="E7E6E6" w:themeFill="background2"/>
            <w:noWrap/>
            <w:vAlign w:val="center"/>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同比</w:t>
            </w:r>
          </w:p>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增长</w:t>
            </w:r>
          </w:p>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w:t>
            </w:r>
          </w:p>
        </w:tc>
        <w:tc>
          <w:tcPr>
            <w:tcW w:w="1361" w:type="dxa"/>
            <w:shd w:val="clear" w:color="auto" w:fill="E7E6E6" w:themeFill="background2"/>
            <w:noWrap/>
            <w:vAlign w:val="center"/>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2023年半年度</w:t>
            </w:r>
          </w:p>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平均研发支出（亿元）</w:t>
            </w:r>
          </w:p>
        </w:tc>
        <w:tc>
          <w:tcPr>
            <w:tcW w:w="1247" w:type="dxa"/>
            <w:shd w:val="clear" w:color="auto" w:fill="E7E6E6" w:themeFill="background2"/>
            <w:noWrap/>
            <w:vAlign w:val="center"/>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2023年半年度营业收入（亿元）</w:t>
            </w:r>
          </w:p>
        </w:tc>
        <w:tc>
          <w:tcPr>
            <w:tcW w:w="942" w:type="dxa"/>
            <w:shd w:val="clear" w:color="auto" w:fill="E7E6E6" w:themeFill="background2"/>
            <w:noWrap/>
            <w:vAlign w:val="center"/>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2023年半年度研发支出占营收比例</w:t>
            </w:r>
          </w:p>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 w:type="dxa"/>
            <w:noWrap/>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沪主板</w:t>
            </w:r>
          </w:p>
        </w:tc>
        <w:tc>
          <w:tcPr>
            <w:tcW w:w="795"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1677</w:t>
            </w:r>
          </w:p>
        </w:tc>
        <w:tc>
          <w:tcPr>
            <w:tcW w:w="119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2878.10</w:t>
            </w:r>
          </w:p>
        </w:tc>
        <w:tc>
          <w:tcPr>
            <w:tcW w:w="119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3093.99</w:t>
            </w:r>
          </w:p>
        </w:tc>
        <w:tc>
          <w:tcPr>
            <w:tcW w:w="912"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7.50%</w:t>
            </w:r>
          </w:p>
        </w:tc>
        <w:tc>
          <w:tcPr>
            <w:tcW w:w="136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1.84</w:t>
            </w:r>
          </w:p>
        </w:tc>
        <w:tc>
          <w:tcPr>
            <w:tcW w:w="1247"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248238.16</w:t>
            </w:r>
          </w:p>
        </w:tc>
        <w:tc>
          <w:tcPr>
            <w:tcW w:w="942"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 w:type="dxa"/>
            <w:noWrap/>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深主板</w:t>
            </w:r>
          </w:p>
        </w:tc>
        <w:tc>
          <w:tcPr>
            <w:tcW w:w="795"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1499</w:t>
            </w:r>
          </w:p>
        </w:tc>
        <w:tc>
          <w:tcPr>
            <w:tcW w:w="119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2100</w:t>
            </w:r>
          </w:p>
        </w:tc>
        <w:tc>
          <w:tcPr>
            <w:tcW w:w="119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2355.72</w:t>
            </w:r>
          </w:p>
        </w:tc>
        <w:tc>
          <w:tcPr>
            <w:tcW w:w="912"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12.18%</w:t>
            </w:r>
          </w:p>
        </w:tc>
        <w:tc>
          <w:tcPr>
            <w:tcW w:w="136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1.92</w:t>
            </w:r>
          </w:p>
        </w:tc>
        <w:tc>
          <w:tcPr>
            <w:tcW w:w="1247"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80128.46</w:t>
            </w:r>
          </w:p>
        </w:tc>
        <w:tc>
          <w:tcPr>
            <w:tcW w:w="942"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 w:type="dxa"/>
            <w:noWrap/>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创业板</w:t>
            </w:r>
          </w:p>
        </w:tc>
        <w:tc>
          <w:tcPr>
            <w:tcW w:w="795"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1275</w:t>
            </w:r>
          </w:p>
        </w:tc>
        <w:tc>
          <w:tcPr>
            <w:tcW w:w="119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762.26</w:t>
            </w:r>
          </w:p>
        </w:tc>
        <w:tc>
          <w:tcPr>
            <w:tcW w:w="119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886.69</w:t>
            </w:r>
          </w:p>
        </w:tc>
        <w:tc>
          <w:tcPr>
            <w:tcW w:w="912"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16.32%</w:t>
            </w:r>
          </w:p>
        </w:tc>
        <w:tc>
          <w:tcPr>
            <w:tcW w:w="136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0.70</w:t>
            </w:r>
          </w:p>
        </w:tc>
        <w:tc>
          <w:tcPr>
            <w:tcW w:w="1247"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17497.71</w:t>
            </w:r>
          </w:p>
        </w:tc>
        <w:tc>
          <w:tcPr>
            <w:tcW w:w="942"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 w:type="dxa"/>
            <w:noWrap/>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科创板</w:t>
            </w:r>
          </w:p>
        </w:tc>
        <w:tc>
          <w:tcPr>
            <w:tcW w:w="795"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540</w:t>
            </w:r>
          </w:p>
        </w:tc>
        <w:tc>
          <w:tcPr>
            <w:tcW w:w="119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588.80</w:t>
            </w:r>
          </w:p>
        </w:tc>
        <w:tc>
          <w:tcPr>
            <w:tcW w:w="119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693.01</w:t>
            </w:r>
          </w:p>
        </w:tc>
        <w:tc>
          <w:tcPr>
            <w:tcW w:w="912"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17.70%</w:t>
            </w:r>
          </w:p>
        </w:tc>
        <w:tc>
          <w:tcPr>
            <w:tcW w:w="136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1.82</w:t>
            </w:r>
          </w:p>
        </w:tc>
        <w:tc>
          <w:tcPr>
            <w:tcW w:w="1247"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6106.77</w:t>
            </w:r>
          </w:p>
        </w:tc>
        <w:tc>
          <w:tcPr>
            <w:tcW w:w="942"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 w:type="dxa"/>
            <w:noWrap/>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北证</w:t>
            </w:r>
          </w:p>
        </w:tc>
        <w:tc>
          <w:tcPr>
            <w:tcW w:w="795"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204</w:t>
            </w:r>
          </w:p>
        </w:tc>
        <w:tc>
          <w:tcPr>
            <w:tcW w:w="119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30.26</w:t>
            </w:r>
          </w:p>
        </w:tc>
        <w:tc>
          <w:tcPr>
            <w:tcW w:w="119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31.20</w:t>
            </w:r>
          </w:p>
        </w:tc>
        <w:tc>
          <w:tcPr>
            <w:tcW w:w="912"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3.41%</w:t>
            </w:r>
          </w:p>
        </w:tc>
        <w:tc>
          <w:tcPr>
            <w:tcW w:w="1361" w:type="dxa"/>
            <w:noWrap/>
          </w:tcPr>
          <w:p>
            <w:pPr>
              <w:ind w:firstLine="0" w:firstLineChars="0"/>
              <w:jc w:val="right"/>
              <w:rPr>
                <w:rFonts w:ascii="宋体" w:hAnsi="宋体"/>
                <w:sz w:val="18"/>
              </w:rPr>
            </w:pPr>
            <w:r>
              <w:rPr>
                <w:rFonts w:ascii="宋体" w:hAnsi="宋体"/>
                <w:sz w:val="18"/>
              </w:rPr>
              <w:t>0.15</w:t>
            </w:r>
          </w:p>
        </w:tc>
        <w:tc>
          <w:tcPr>
            <w:tcW w:w="1247"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748.56</w:t>
            </w:r>
          </w:p>
        </w:tc>
        <w:tc>
          <w:tcPr>
            <w:tcW w:w="942"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1" w:type="dxa"/>
            <w:noWrap/>
          </w:tcPr>
          <w:p>
            <w:pPr>
              <w:ind w:firstLine="0" w:firstLineChars="0"/>
              <w:jc w:val="center"/>
              <w:rPr>
                <w:rFonts w:ascii="宋体" w:hAnsi="宋体" w:eastAsia="宋体" w:cstheme="majorHAnsi"/>
                <w:b/>
                <w:bCs/>
                <w:sz w:val="18"/>
                <w:szCs w:val="18"/>
              </w:rPr>
            </w:pPr>
            <w:r>
              <w:rPr>
                <w:rFonts w:hint="eastAsia" w:ascii="宋体" w:hAnsi="宋体" w:eastAsia="宋体" w:cstheme="majorHAnsi"/>
                <w:b/>
                <w:bCs/>
                <w:sz w:val="18"/>
                <w:szCs w:val="18"/>
              </w:rPr>
              <w:t>合计</w:t>
            </w:r>
          </w:p>
        </w:tc>
        <w:tc>
          <w:tcPr>
            <w:tcW w:w="795"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fldChar w:fldCharType="begin"/>
            </w:r>
            <w:r>
              <w:rPr>
                <w:rFonts w:ascii="宋体" w:hAnsi="宋体" w:eastAsia="宋体" w:cstheme="majorHAnsi"/>
                <w:sz w:val="18"/>
                <w:szCs w:val="18"/>
              </w:rPr>
              <w:instrText xml:space="preserve"> = sum(B2:B6) \* MERGEFORMAT </w:instrText>
            </w:r>
            <w:r>
              <w:rPr>
                <w:rFonts w:ascii="宋体" w:hAnsi="宋体" w:eastAsia="宋体" w:cstheme="majorHAnsi"/>
                <w:sz w:val="18"/>
                <w:szCs w:val="18"/>
              </w:rPr>
              <w:fldChar w:fldCharType="separate"/>
            </w:r>
            <w:r>
              <w:rPr>
                <w:rFonts w:ascii="宋体" w:hAnsi="宋体" w:eastAsia="宋体" w:cstheme="majorHAnsi"/>
                <w:sz w:val="18"/>
                <w:szCs w:val="18"/>
              </w:rPr>
              <w:t>5195</w:t>
            </w:r>
            <w:r>
              <w:rPr>
                <w:rFonts w:ascii="宋体" w:hAnsi="宋体" w:eastAsia="宋体" w:cstheme="majorHAnsi"/>
                <w:sz w:val="18"/>
                <w:szCs w:val="18"/>
              </w:rPr>
              <w:fldChar w:fldCharType="end"/>
            </w:r>
          </w:p>
        </w:tc>
        <w:tc>
          <w:tcPr>
            <w:tcW w:w="119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fldChar w:fldCharType="begin"/>
            </w:r>
            <w:r>
              <w:rPr>
                <w:rFonts w:ascii="宋体" w:hAnsi="宋体" w:eastAsia="宋体" w:cstheme="majorHAnsi"/>
                <w:sz w:val="18"/>
                <w:szCs w:val="18"/>
              </w:rPr>
              <w:instrText xml:space="preserve"> = sum(C2:C6) \* MERGEFORMAT </w:instrText>
            </w:r>
            <w:r>
              <w:rPr>
                <w:rFonts w:ascii="宋体" w:hAnsi="宋体" w:eastAsia="宋体" w:cstheme="majorHAnsi"/>
                <w:sz w:val="18"/>
                <w:szCs w:val="18"/>
              </w:rPr>
              <w:fldChar w:fldCharType="separate"/>
            </w:r>
            <w:r>
              <w:rPr>
                <w:rFonts w:ascii="宋体" w:hAnsi="宋体" w:eastAsia="宋体" w:cstheme="majorHAnsi"/>
                <w:sz w:val="18"/>
                <w:szCs w:val="18"/>
              </w:rPr>
              <w:t>6359.42</w:t>
            </w:r>
            <w:r>
              <w:rPr>
                <w:rFonts w:ascii="宋体" w:hAnsi="宋体" w:eastAsia="宋体" w:cstheme="majorHAnsi"/>
                <w:sz w:val="18"/>
                <w:szCs w:val="18"/>
              </w:rPr>
              <w:fldChar w:fldCharType="end"/>
            </w:r>
          </w:p>
        </w:tc>
        <w:tc>
          <w:tcPr>
            <w:tcW w:w="1191"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fldChar w:fldCharType="begin"/>
            </w:r>
            <w:r>
              <w:rPr>
                <w:rFonts w:ascii="宋体" w:hAnsi="宋体" w:eastAsia="宋体" w:cstheme="majorHAnsi"/>
                <w:sz w:val="18"/>
                <w:szCs w:val="18"/>
              </w:rPr>
              <w:instrText xml:space="preserve"> = sum(D2:D6) \* MERGEFORMAT </w:instrText>
            </w:r>
            <w:r>
              <w:rPr>
                <w:rFonts w:ascii="宋体" w:hAnsi="宋体" w:eastAsia="宋体" w:cstheme="majorHAnsi"/>
                <w:sz w:val="18"/>
                <w:szCs w:val="18"/>
              </w:rPr>
              <w:fldChar w:fldCharType="separate"/>
            </w:r>
            <w:r>
              <w:rPr>
                <w:rFonts w:ascii="宋体" w:hAnsi="宋体" w:eastAsia="宋体" w:cstheme="majorHAnsi"/>
                <w:sz w:val="18"/>
                <w:szCs w:val="18"/>
              </w:rPr>
              <w:t>7060.61</w:t>
            </w:r>
            <w:r>
              <w:rPr>
                <w:rFonts w:ascii="宋体" w:hAnsi="宋体" w:eastAsia="宋体" w:cstheme="majorHAnsi"/>
                <w:sz w:val="18"/>
                <w:szCs w:val="18"/>
              </w:rPr>
              <w:fldChar w:fldCharType="end"/>
            </w:r>
          </w:p>
        </w:tc>
        <w:tc>
          <w:tcPr>
            <w:tcW w:w="912" w:type="dxa"/>
            <w:noWrap/>
          </w:tcPr>
          <w:p>
            <w:pPr>
              <w:ind w:firstLine="0" w:firstLineChars="0"/>
              <w:jc w:val="right"/>
              <w:rPr>
                <w:rFonts w:ascii="宋体" w:hAnsi="宋体" w:eastAsia="宋体" w:cstheme="majorHAnsi"/>
                <w:sz w:val="18"/>
                <w:szCs w:val="18"/>
              </w:rPr>
            </w:pPr>
            <w:r>
              <w:rPr>
                <w:rFonts w:hint="eastAsia" w:ascii="宋体" w:hAnsi="宋体" w:eastAsia="宋体" w:cstheme="majorHAnsi"/>
                <w:sz w:val="18"/>
                <w:szCs w:val="18"/>
              </w:rPr>
              <w:t>11.03%</w:t>
            </w:r>
          </w:p>
        </w:tc>
        <w:tc>
          <w:tcPr>
            <w:tcW w:w="1361" w:type="dxa"/>
            <w:noWrap/>
          </w:tcPr>
          <w:p>
            <w:pPr>
              <w:ind w:firstLine="0" w:firstLineChars="0"/>
              <w:jc w:val="right"/>
              <w:rPr>
                <w:rFonts w:ascii="宋体" w:hAnsi="宋体"/>
                <w:sz w:val="18"/>
              </w:rPr>
            </w:pPr>
            <w:r>
              <w:rPr>
                <w:rFonts w:hint="eastAsia" w:ascii="宋体" w:hAnsi="宋体"/>
                <w:sz w:val="18"/>
              </w:rPr>
              <w:t>1.36</w:t>
            </w:r>
          </w:p>
        </w:tc>
        <w:tc>
          <w:tcPr>
            <w:tcW w:w="1247" w:type="dxa"/>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fldChar w:fldCharType="begin"/>
            </w:r>
            <w:r>
              <w:rPr>
                <w:rFonts w:ascii="宋体" w:hAnsi="宋体" w:eastAsia="宋体" w:cstheme="majorHAnsi"/>
                <w:sz w:val="18"/>
                <w:szCs w:val="18"/>
              </w:rPr>
              <w:instrText xml:space="preserve"> = sum(G2:G6) \* MERGEFORMAT </w:instrText>
            </w:r>
            <w:r>
              <w:rPr>
                <w:rFonts w:ascii="宋体" w:hAnsi="宋体" w:eastAsia="宋体" w:cstheme="majorHAnsi"/>
                <w:sz w:val="18"/>
                <w:szCs w:val="18"/>
              </w:rPr>
              <w:fldChar w:fldCharType="separate"/>
            </w:r>
            <w:r>
              <w:rPr>
                <w:rFonts w:ascii="宋体" w:hAnsi="宋体" w:eastAsia="宋体" w:cstheme="majorHAnsi"/>
                <w:sz w:val="18"/>
                <w:szCs w:val="18"/>
              </w:rPr>
              <w:t>352719.66</w:t>
            </w:r>
            <w:r>
              <w:rPr>
                <w:rFonts w:ascii="宋体" w:hAnsi="宋体" w:eastAsia="宋体" w:cstheme="majorHAnsi"/>
                <w:sz w:val="18"/>
                <w:szCs w:val="18"/>
              </w:rPr>
              <w:fldChar w:fldCharType="end"/>
            </w:r>
          </w:p>
        </w:tc>
        <w:tc>
          <w:tcPr>
            <w:tcW w:w="942" w:type="dxa"/>
            <w:noWrap/>
          </w:tcPr>
          <w:p>
            <w:pPr>
              <w:ind w:firstLine="0" w:firstLineChars="0"/>
              <w:jc w:val="right"/>
              <w:rPr>
                <w:rFonts w:ascii="宋体" w:hAnsi="宋体" w:eastAsia="宋体" w:cstheme="majorHAnsi"/>
                <w:sz w:val="18"/>
                <w:szCs w:val="18"/>
              </w:rPr>
            </w:pPr>
            <w:r>
              <w:rPr>
                <w:rFonts w:hint="eastAsia" w:ascii="宋体" w:hAnsi="宋体" w:eastAsia="宋体" w:cstheme="majorHAnsi"/>
                <w:sz w:val="18"/>
                <w:szCs w:val="18"/>
              </w:rPr>
              <w:t>2.00%</w:t>
            </w:r>
          </w:p>
        </w:tc>
      </w:tr>
    </w:tbl>
    <w:p>
      <w:pPr>
        <w:pStyle w:val="44"/>
        <w:rPr>
          <w:rFonts w:ascii="宋体" w:hAnsi="宋体"/>
        </w:rPr>
      </w:pPr>
      <w:r>
        <w:rPr>
          <w:rFonts w:ascii="宋体" w:hAnsi="宋体"/>
        </w:rPr>
        <w:t>数据来源：Choice、易董研究所整理</w:t>
      </w:r>
    </w:p>
    <w:p>
      <w:pPr>
        <w:pStyle w:val="44"/>
        <w:rPr>
          <w:rFonts w:ascii="宋体" w:hAnsi="宋体"/>
        </w:rPr>
      </w:pPr>
    </w:p>
    <w:p>
      <w:pPr>
        <w:pStyle w:val="3"/>
        <w:rPr>
          <w:rFonts w:ascii="宋体" w:hAnsi="宋体" w:eastAsia="宋体" w:cstheme="majorHAnsi"/>
        </w:rPr>
      </w:pPr>
      <w:bookmarkStart w:id="30" w:name="_Toc147674749"/>
      <w:bookmarkStart w:id="31" w:name="_Toc146208950"/>
      <w:bookmarkStart w:id="32" w:name="_Toc145323803"/>
      <w:bookmarkStart w:id="33" w:name="_Toc148969277"/>
      <w:r>
        <w:rPr>
          <w:rFonts w:ascii="宋体" w:hAnsi="宋体" w:eastAsia="宋体" w:cstheme="majorHAnsi"/>
        </w:rPr>
        <w:t>2023年上半年度</w:t>
      </w:r>
      <w:r>
        <w:rPr>
          <w:rFonts w:hint="eastAsia" w:ascii="宋体" w:hAnsi="宋体" w:eastAsia="宋体" w:cstheme="majorHAnsi"/>
        </w:rPr>
        <w:t>A股</w:t>
      </w:r>
      <w:r>
        <w:rPr>
          <w:rFonts w:ascii="宋体" w:hAnsi="宋体" w:eastAsia="宋体" w:cstheme="majorHAnsi"/>
        </w:rPr>
        <w:t>上市公司</w:t>
      </w:r>
      <w:r>
        <w:rPr>
          <w:rFonts w:hint="eastAsia" w:ascii="宋体" w:hAnsi="宋体" w:eastAsia="宋体" w:cstheme="majorHAnsi"/>
        </w:rPr>
        <w:t>发展</w:t>
      </w:r>
      <w:r>
        <w:rPr>
          <w:rFonts w:ascii="宋体" w:hAnsi="宋体" w:eastAsia="宋体" w:cstheme="majorHAnsi"/>
        </w:rPr>
        <w:t>特点</w:t>
      </w:r>
      <w:bookmarkEnd w:id="30"/>
      <w:bookmarkEnd w:id="31"/>
      <w:bookmarkEnd w:id="32"/>
      <w:bookmarkEnd w:id="33"/>
    </w:p>
    <w:p>
      <w:pPr>
        <w:pStyle w:val="4"/>
        <w:numPr>
          <w:ilvl w:val="0"/>
          <w:numId w:val="3"/>
        </w:numPr>
      </w:pPr>
      <w:bookmarkStart w:id="34" w:name="_Toc147910514"/>
      <w:bookmarkEnd w:id="34"/>
      <w:bookmarkStart w:id="35" w:name="_Toc147925052"/>
      <w:bookmarkEnd w:id="35"/>
      <w:bookmarkStart w:id="36" w:name="_Toc147910526"/>
      <w:bookmarkEnd w:id="36"/>
      <w:bookmarkStart w:id="37" w:name="_Toc147925063"/>
      <w:bookmarkEnd w:id="37"/>
      <w:bookmarkStart w:id="38" w:name="_Toc147674754"/>
      <w:bookmarkEnd w:id="38"/>
      <w:bookmarkStart w:id="39" w:name="_Toc147925062"/>
      <w:bookmarkEnd w:id="39"/>
      <w:bookmarkStart w:id="40" w:name="_Toc147674758"/>
      <w:bookmarkEnd w:id="40"/>
      <w:bookmarkStart w:id="41" w:name="_Toc147674760"/>
      <w:bookmarkEnd w:id="41"/>
      <w:bookmarkStart w:id="42" w:name="_Toc147674762"/>
      <w:bookmarkEnd w:id="42"/>
      <w:bookmarkStart w:id="43" w:name="_Toc147674763"/>
      <w:bookmarkEnd w:id="43"/>
      <w:bookmarkStart w:id="44" w:name="_Toc147674759"/>
      <w:bookmarkEnd w:id="44"/>
      <w:bookmarkStart w:id="45" w:name="_Toc147910524"/>
      <w:bookmarkEnd w:id="45"/>
      <w:bookmarkStart w:id="46" w:name="_Toc147925051"/>
      <w:bookmarkEnd w:id="46"/>
      <w:bookmarkStart w:id="47" w:name="_Toc147925059"/>
      <w:bookmarkEnd w:id="47"/>
      <w:bookmarkStart w:id="48" w:name="_Toc147910513"/>
      <w:bookmarkEnd w:id="48"/>
      <w:bookmarkStart w:id="49" w:name="_Toc147674753"/>
      <w:bookmarkEnd w:id="49"/>
      <w:bookmarkStart w:id="50" w:name="_Toc147925053"/>
      <w:bookmarkEnd w:id="50"/>
      <w:bookmarkStart w:id="51" w:name="_Toc147674752"/>
      <w:bookmarkEnd w:id="51"/>
      <w:bookmarkStart w:id="52" w:name="_Toc147925060"/>
      <w:bookmarkEnd w:id="52"/>
      <w:bookmarkStart w:id="53" w:name="_Toc147674761"/>
      <w:bookmarkEnd w:id="53"/>
      <w:bookmarkStart w:id="54" w:name="_Toc147925055"/>
      <w:bookmarkEnd w:id="54"/>
      <w:bookmarkStart w:id="55" w:name="_Toc147674757"/>
      <w:bookmarkEnd w:id="55"/>
      <w:bookmarkStart w:id="56" w:name="_Toc147910525"/>
      <w:bookmarkEnd w:id="56"/>
      <w:bookmarkStart w:id="57" w:name="_Toc147910522"/>
      <w:bookmarkEnd w:id="57"/>
      <w:bookmarkStart w:id="58" w:name="_Toc147674756"/>
      <w:bookmarkEnd w:id="58"/>
      <w:bookmarkStart w:id="59" w:name="_Toc147674755"/>
      <w:bookmarkEnd w:id="59"/>
      <w:bookmarkStart w:id="60" w:name="_Toc147925064"/>
      <w:bookmarkEnd w:id="60"/>
      <w:bookmarkStart w:id="61" w:name="_Toc147910518"/>
      <w:bookmarkEnd w:id="61"/>
      <w:bookmarkStart w:id="62" w:name="_Toc147910517"/>
      <w:bookmarkEnd w:id="62"/>
      <w:bookmarkStart w:id="63" w:name="_Toc147925056"/>
      <w:bookmarkEnd w:id="63"/>
      <w:bookmarkStart w:id="64" w:name="_Toc147910523"/>
      <w:bookmarkEnd w:id="64"/>
      <w:bookmarkStart w:id="65" w:name="_Toc147925057"/>
      <w:bookmarkEnd w:id="65"/>
      <w:bookmarkStart w:id="66" w:name="_Toc147674750"/>
      <w:bookmarkEnd w:id="66"/>
      <w:bookmarkStart w:id="67" w:name="_Toc147910519"/>
      <w:bookmarkEnd w:id="67"/>
      <w:bookmarkStart w:id="68" w:name="_Toc147925061"/>
      <w:bookmarkEnd w:id="68"/>
      <w:bookmarkStart w:id="69" w:name="_Toc147910520"/>
      <w:bookmarkEnd w:id="69"/>
      <w:bookmarkStart w:id="70" w:name="_Toc147925054"/>
      <w:bookmarkEnd w:id="70"/>
      <w:bookmarkStart w:id="71" w:name="_Toc147910521"/>
      <w:bookmarkEnd w:id="71"/>
      <w:bookmarkStart w:id="72" w:name="_Toc147910516"/>
      <w:bookmarkEnd w:id="72"/>
      <w:bookmarkStart w:id="73" w:name="_Toc147925058"/>
      <w:bookmarkEnd w:id="73"/>
      <w:bookmarkStart w:id="74" w:name="_Toc147910515"/>
      <w:bookmarkEnd w:id="74"/>
      <w:bookmarkStart w:id="75" w:name="_Toc147674751"/>
      <w:bookmarkEnd w:id="75"/>
      <w:bookmarkStart w:id="76" w:name="_Toc145323805"/>
      <w:bookmarkStart w:id="77" w:name="_Toc146208952"/>
      <w:bookmarkStart w:id="78" w:name="_Toc147674764"/>
      <w:bookmarkStart w:id="79" w:name="_Toc148969278"/>
      <w:r>
        <w:t>高市值上市公司领头地位稳固，盈利能力良好</w:t>
      </w:r>
      <w:bookmarkEnd w:id="76"/>
      <w:bookmarkEnd w:id="77"/>
      <w:bookmarkEnd w:id="78"/>
      <w:bookmarkEnd w:id="79"/>
    </w:p>
    <w:p>
      <w:pPr>
        <w:rPr>
          <w:rFonts w:asciiTheme="minorEastAsia" w:hAnsiTheme="minorEastAsia" w:eastAsiaTheme="minorEastAsia" w:cstheme="majorHAnsi"/>
        </w:rPr>
      </w:pPr>
      <w:r>
        <w:rPr>
          <w:rFonts w:asciiTheme="minorEastAsia" w:hAnsiTheme="minorEastAsia" w:eastAsiaTheme="minorEastAsia" w:cstheme="majorHAnsi"/>
        </w:rPr>
        <w:t>500亿市值上市公司数量占比小，营收占比庞大，其他市值区间公司数量多，但营收贡献能力相对更弱</w:t>
      </w:r>
      <w:r>
        <w:rPr>
          <w:rFonts w:hint="eastAsia" w:asciiTheme="minorEastAsia" w:hAnsiTheme="minorEastAsia" w:eastAsiaTheme="minorEastAsia" w:cstheme="majorHAnsi"/>
        </w:rPr>
        <w:t>，二八分化现象明显</w:t>
      </w:r>
      <w:r>
        <w:rPr>
          <w:rFonts w:asciiTheme="minorEastAsia" w:hAnsiTheme="minorEastAsia" w:eastAsiaTheme="minorEastAsia" w:cstheme="majorHAnsi"/>
        </w:rPr>
        <w:t>。</w:t>
      </w:r>
      <w:r>
        <w:rPr>
          <w:rFonts w:hint="eastAsia" w:asciiTheme="minorEastAsia" w:hAnsiTheme="minorEastAsia" w:eastAsiaTheme="minorEastAsia" w:cstheme="majorHAnsi"/>
        </w:rPr>
        <w:t>截至2</w:t>
      </w:r>
      <w:r>
        <w:rPr>
          <w:rFonts w:asciiTheme="minorEastAsia" w:hAnsiTheme="minorEastAsia" w:eastAsiaTheme="minorEastAsia" w:cstheme="majorHAnsi"/>
        </w:rPr>
        <w:t>023</w:t>
      </w:r>
      <w:r>
        <w:rPr>
          <w:rFonts w:hint="eastAsia" w:asciiTheme="minorEastAsia" w:hAnsiTheme="minorEastAsia" w:eastAsiaTheme="minorEastAsia" w:cstheme="majorHAnsi"/>
        </w:rPr>
        <w:t>年6月3</w:t>
      </w:r>
      <w:r>
        <w:rPr>
          <w:rFonts w:asciiTheme="minorEastAsia" w:hAnsiTheme="minorEastAsia" w:eastAsiaTheme="minorEastAsia" w:cstheme="majorHAnsi"/>
        </w:rPr>
        <w:t>0</w:t>
      </w:r>
      <w:r>
        <w:rPr>
          <w:rFonts w:hint="eastAsia" w:asciiTheme="minorEastAsia" w:hAnsiTheme="minorEastAsia" w:eastAsiaTheme="minorEastAsia" w:cstheme="majorHAnsi"/>
        </w:rPr>
        <w:t>日</w:t>
      </w:r>
      <w:r>
        <w:rPr>
          <w:rFonts w:asciiTheme="minorEastAsia" w:hAnsiTheme="minorEastAsia" w:eastAsiaTheme="minorEastAsia" w:cstheme="majorHAnsi"/>
        </w:rPr>
        <w:t>，</w:t>
      </w:r>
      <w:r>
        <w:rPr>
          <w:rFonts w:hint="eastAsia" w:asciiTheme="minorEastAsia" w:hAnsiTheme="minorEastAsia" w:eastAsiaTheme="minorEastAsia" w:cstheme="majorHAnsi"/>
        </w:rPr>
        <w:t>5</w:t>
      </w:r>
      <w:r>
        <w:rPr>
          <w:rFonts w:asciiTheme="minorEastAsia" w:hAnsiTheme="minorEastAsia" w:eastAsiaTheme="minorEastAsia" w:cstheme="majorHAnsi"/>
        </w:rPr>
        <w:t>00亿市值以上的上市公司数量为257家，占比4.95%，市值规模达到45.35万亿元，占比52.38%。从盈利指标来看，</w:t>
      </w:r>
      <w:r>
        <w:rPr>
          <w:rFonts w:hint="eastAsia" w:asciiTheme="minorEastAsia" w:hAnsiTheme="minorEastAsia" w:eastAsiaTheme="minorEastAsia" w:cstheme="majorHAnsi"/>
        </w:rPr>
        <w:t>5</w:t>
      </w:r>
      <w:r>
        <w:rPr>
          <w:rFonts w:asciiTheme="minorEastAsia" w:hAnsiTheme="minorEastAsia" w:eastAsiaTheme="minorEastAsia" w:cstheme="majorHAnsi"/>
        </w:rPr>
        <w:t>00亿级上市公司的营业收入总额达到20.54万亿元</w:t>
      </w:r>
      <w:r>
        <w:rPr>
          <w:rFonts w:asciiTheme="minorEastAsia" w:hAnsiTheme="minorEastAsia" w:eastAsiaTheme="minorEastAsia"/>
        </w:rPr>
        <w:t>，</w:t>
      </w:r>
      <w:r>
        <w:rPr>
          <w:rFonts w:asciiTheme="minorEastAsia" w:hAnsiTheme="minorEastAsia" w:eastAsiaTheme="minorEastAsia"/>
          <w:b/>
        </w:rPr>
        <w:t>占比58.23%</w:t>
      </w:r>
      <w:r>
        <w:rPr>
          <w:rFonts w:asciiTheme="minorEastAsia" w:hAnsiTheme="minorEastAsia" w:eastAsiaTheme="minorEastAsia"/>
        </w:rPr>
        <w:t>；</w:t>
      </w:r>
      <w:r>
        <w:rPr>
          <w:rFonts w:asciiTheme="minorEastAsia" w:hAnsiTheme="minorEastAsia" w:eastAsiaTheme="minorEastAsia" w:cstheme="majorHAnsi"/>
        </w:rPr>
        <w:t>净利润总额达到2.29万亿元，</w:t>
      </w:r>
      <w:r>
        <w:rPr>
          <w:rFonts w:asciiTheme="minorEastAsia" w:hAnsiTheme="minorEastAsia" w:eastAsiaTheme="minorEastAsia"/>
          <w:b/>
        </w:rPr>
        <w:t>占比77.71%。</w:t>
      </w:r>
      <w:r>
        <w:rPr>
          <w:rFonts w:asciiTheme="minorEastAsia" w:hAnsiTheme="minorEastAsia" w:eastAsiaTheme="minorEastAsia" w:cstheme="majorHAnsi"/>
        </w:rPr>
        <w:t>其中，万亿市值以上的上市公司有6家，分别为贵州茅台、中国石油、工商银行、农业银行、宁德时代、中国移动，其合计总市值、营业收入、净利润分别为8.78万亿元，3.08万亿元和0.53万亿元，占A股上市公司相同指标总额的比重分别为10.15%、8.74%和17.82%；6家万亿市值公司的平均净利润、营业收入分别达到875.21亿元、5137.77亿元，均远超其他类别的上市公司。</w:t>
      </w:r>
    </w:p>
    <w:p>
      <w:pPr>
        <w:rPr>
          <w:rFonts w:ascii="宋体" w:hAnsi="宋体" w:eastAsia="宋体" w:cstheme="majorHAnsi"/>
        </w:rPr>
      </w:pPr>
    </w:p>
    <w:p>
      <w:pPr>
        <w:pStyle w:val="7"/>
        <w:rPr>
          <w:rFonts w:ascii="宋体" w:hAnsi="宋体"/>
        </w:rPr>
      </w:pPr>
      <w:r>
        <w:rPr>
          <w:rFonts w:ascii="宋体" w:hAnsi="宋体"/>
        </w:rPr>
        <w:t xml:space="preserve">表 </w:t>
      </w:r>
      <w:r>
        <w:rPr>
          <w:rFonts w:ascii="宋体" w:hAnsi="宋体"/>
        </w:rPr>
        <w:fldChar w:fldCharType="begin"/>
      </w:r>
      <w:r>
        <w:rPr>
          <w:rFonts w:ascii="宋体" w:hAnsi="宋体"/>
        </w:rPr>
        <w:instrText xml:space="preserve"> SEQ 表 \* ARABIC </w:instrText>
      </w:r>
      <w:r>
        <w:rPr>
          <w:rFonts w:ascii="宋体" w:hAnsi="宋体"/>
        </w:rPr>
        <w:fldChar w:fldCharType="separate"/>
      </w:r>
      <w:r>
        <w:rPr>
          <w:rFonts w:ascii="宋体" w:hAnsi="宋体"/>
        </w:rPr>
        <w:t>4</w:t>
      </w:r>
      <w:r>
        <w:rPr>
          <w:rFonts w:ascii="宋体" w:hAnsi="宋体"/>
        </w:rPr>
        <w:fldChar w:fldCharType="end"/>
      </w:r>
      <w:r>
        <w:rPr>
          <w:rFonts w:ascii="宋体" w:hAnsi="宋体"/>
        </w:rPr>
        <w:t xml:space="preserve"> A股六大市值区间财务指标</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972"/>
        <w:gridCol w:w="1080"/>
        <w:gridCol w:w="1014"/>
        <w:gridCol w:w="1169"/>
        <w:gridCol w:w="1107"/>
        <w:gridCol w:w="1210"/>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29" w:type="pct"/>
            <w:tcBorders>
              <w:tl2br w:val="nil"/>
              <w:tr2bl w:val="nil"/>
            </w:tcBorders>
            <w:shd w:val="clear" w:color="auto" w:fill="E7E6E6" w:themeFill="background2"/>
            <w:vAlign w:val="center"/>
          </w:tcPr>
          <w:p>
            <w:pPr>
              <w:spacing w:line="240" w:lineRule="auto"/>
              <w:ind w:firstLine="0" w:firstLineChars="0"/>
              <w:rPr>
                <w:rFonts w:ascii="宋体" w:hAnsi="宋体" w:eastAsia="宋体" w:cstheme="majorHAnsi"/>
                <w:b/>
                <w:bCs/>
                <w:color w:val="000000"/>
                <w:sz w:val="18"/>
                <w:szCs w:val="18"/>
              </w:rPr>
            </w:pPr>
            <w:r>
              <w:rPr>
                <w:rFonts w:ascii="宋体" w:hAnsi="宋体" w:eastAsia="宋体" w:cstheme="majorHAnsi"/>
                <w:b/>
                <w:bCs/>
                <w:color w:val="000000"/>
                <w:sz w:val="18"/>
                <w:szCs w:val="18"/>
              </w:rPr>
              <w:t>市值区间</w:t>
            </w:r>
          </w:p>
        </w:tc>
        <w:tc>
          <w:tcPr>
            <w:tcW w:w="570" w:type="pct"/>
            <w:tcBorders>
              <w:tl2br w:val="nil"/>
              <w:tr2bl w:val="nil"/>
            </w:tcBorders>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第一类公司</w:t>
            </w:r>
          </w:p>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（万亿以上）</w:t>
            </w:r>
          </w:p>
        </w:tc>
        <w:tc>
          <w:tcPr>
            <w:tcW w:w="633" w:type="pct"/>
            <w:tcBorders>
              <w:tl2br w:val="nil"/>
              <w:tr2bl w:val="nil"/>
            </w:tcBorders>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第二类公司</w:t>
            </w:r>
          </w:p>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（1000亿-10000亿）</w:t>
            </w:r>
          </w:p>
        </w:tc>
        <w:tc>
          <w:tcPr>
            <w:tcW w:w="594" w:type="pct"/>
            <w:tcBorders>
              <w:tl2br w:val="nil"/>
              <w:tr2bl w:val="nil"/>
            </w:tcBorders>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第三类公司</w:t>
            </w:r>
          </w:p>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（500亿-1000亿）</w:t>
            </w:r>
          </w:p>
        </w:tc>
        <w:tc>
          <w:tcPr>
            <w:tcW w:w="685" w:type="pct"/>
            <w:tcBorders>
              <w:tl2br w:val="nil"/>
              <w:tr2bl w:val="nil"/>
            </w:tcBorders>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第四类公司</w:t>
            </w:r>
          </w:p>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（100亿-500亿）</w:t>
            </w:r>
          </w:p>
        </w:tc>
        <w:tc>
          <w:tcPr>
            <w:tcW w:w="649" w:type="pct"/>
            <w:tcBorders>
              <w:tl2br w:val="nil"/>
              <w:tr2bl w:val="nil"/>
            </w:tcBorders>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第五类公司</w:t>
            </w:r>
          </w:p>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（50亿-100亿）</w:t>
            </w:r>
          </w:p>
        </w:tc>
        <w:tc>
          <w:tcPr>
            <w:tcW w:w="709" w:type="pct"/>
            <w:tcBorders>
              <w:tl2br w:val="nil"/>
              <w:tr2bl w:val="nil"/>
            </w:tcBorders>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第六类公司</w:t>
            </w:r>
          </w:p>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（50亿以下）</w:t>
            </w:r>
          </w:p>
        </w:tc>
        <w:tc>
          <w:tcPr>
            <w:tcW w:w="626" w:type="pct"/>
            <w:tcBorders>
              <w:tl2br w:val="nil"/>
              <w:tr2bl w:val="nil"/>
            </w:tcBorders>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全部A股合计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29" w:type="pct"/>
            <w:tcBorders>
              <w:tl2br w:val="nil"/>
              <w:tr2bl w:val="nil"/>
            </w:tcBorders>
            <w:shd w:val="clear" w:color="auto" w:fill="auto"/>
            <w:vAlign w:val="center"/>
          </w:tcPr>
          <w:p>
            <w:pPr>
              <w:widowControl/>
              <w:spacing w:line="240" w:lineRule="auto"/>
              <w:ind w:firstLine="0" w:firstLineChars="0"/>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数量（家）</w:t>
            </w:r>
          </w:p>
        </w:tc>
        <w:tc>
          <w:tcPr>
            <w:tcW w:w="570"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6</w:t>
            </w:r>
          </w:p>
        </w:tc>
        <w:tc>
          <w:tcPr>
            <w:tcW w:w="633"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117</w:t>
            </w:r>
          </w:p>
        </w:tc>
        <w:tc>
          <w:tcPr>
            <w:tcW w:w="594"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134</w:t>
            </w:r>
          </w:p>
        </w:tc>
        <w:tc>
          <w:tcPr>
            <w:tcW w:w="685"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1219</w:t>
            </w:r>
          </w:p>
        </w:tc>
        <w:tc>
          <w:tcPr>
            <w:tcW w:w="64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1283</w:t>
            </w:r>
          </w:p>
        </w:tc>
        <w:tc>
          <w:tcPr>
            <w:tcW w:w="70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2436</w:t>
            </w:r>
          </w:p>
        </w:tc>
        <w:tc>
          <w:tcPr>
            <w:tcW w:w="626"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5195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pct"/>
            <w:tcBorders>
              <w:tl2br w:val="nil"/>
              <w:tr2bl w:val="nil"/>
            </w:tcBorders>
            <w:shd w:val="clear" w:color="auto" w:fill="auto"/>
            <w:vAlign w:val="center"/>
          </w:tcPr>
          <w:p>
            <w:pPr>
              <w:widowControl/>
              <w:spacing w:line="240" w:lineRule="auto"/>
              <w:ind w:firstLine="0" w:firstLineChars="0"/>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数量占比（%）</w:t>
            </w:r>
          </w:p>
        </w:tc>
        <w:tc>
          <w:tcPr>
            <w:tcW w:w="570"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0.12</w:t>
            </w:r>
          </w:p>
        </w:tc>
        <w:tc>
          <w:tcPr>
            <w:tcW w:w="633"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2.25</w:t>
            </w:r>
          </w:p>
        </w:tc>
        <w:tc>
          <w:tcPr>
            <w:tcW w:w="594"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2.58</w:t>
            </w:r>
          </w:p>
        </w:tc>
        <w:tc>
          <w:tcPr>
            <w:tcW w:w="685"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23.46</w:t>
            </w:r>
          </w:p>
        </w:tc>
        <w:tc>
          <w:tcPr>
            <w:tcW w:w="64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24.70</w:t>
            </w:r>
          </w:p>
        </w:tc>
        <w:tc>
          <w:tcPr>
            <w:tcW w:w="70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46.89</w:t>
            </w:r>
          </w:p>
        </w:tc>
        <w:tc>
          <w:tcPr>
            <w:tcW w:w="626"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529" w:type="pct"/>
            <w:tcBorders>
              <w:tl2br w:val="nil"/>
              <w:tr2bl w:val="nil"/>
            </w:tcBorders>
            <w:shd w:val="clear" w:color="auto" w:fill="auto"/>
            <w:vAlign w:val="center"/>
          </w:tcPr>
          <w:p>
            <w:pPr>
              <w:widowControl/>
              <w:spacing w:line="240" w:lineRule="auto"/>
              <w:ind w:firstLine="0" w:firstLineChars="0"/>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总市值（亿元）</w:t>
            </w:r>
          </w:p>
        </w:tc>
        <w:tc>
          <w:tcPr>
            <w:tcW w:w="570"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87849.39</w:t>
            </w:r>
          </w:p>
        </w:tc>
        <w:tc>
          <w:tcPr>
            <w:tcW w:w="633"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270303.53</w:t>
            </w:r>
          </w:p>
        </w:tc>
        <w:tc>
          <w:tcPr>
            <w:tcW w:w="594"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95308.73</w:t>
            </w:r>
          </w:p>
        </w:tc>
        <w:tc>
          <w:tcPr>
            <w:tcW w:w="685"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249058.80</w:t>
            </w:r>
          </w:p>
        </w:tc>
        <w:tc>
          <w:tcPr>
            <w:tcW w:w="64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89633.83</w:t>
            </w:r>
          </w:p>
        </w:tc>
        <w:tc>
          <w:tcPr>
            <w:tcW w:w="70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73537.43</w:t>
            </w:r>
          </w:p>
        </w:tc>
        <w:tc>
          <w:tcPr>
            <w:tcW w:w="626"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865691.71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29" w:type="pct"/>
            <w:tcBorders>
              <w:tl2br w:val="nil"/>
              <w:tr2bl w:val="nil"/>
            </w:tcBorders>
            <w:shd w:val="clear" w:color="auto" w:fill="auto"/>
            <w:vAlign w:val="center"/>
          </w:tcPr>
          <w:p>
            <w:pPr>
              <w:widowControl/>
              <w:spacing w:line="240" w:lineRule="auto"/>
              <w:ind w:firstLine="0" w:firstLineChars="0"/>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总市值占比（%）</w:t>
            </w:r>
          </w:p>
        </w:tc>
        <w:tc>
          <w:tcPr>
            <w:tcW w:w="570"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10.15</w:t>
            </w:r>
          </w:p>
        </w:tc>
        <w:tc>
          <w:tcPr>
            <w:tcW w:w="633"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31.22</w:t>
            </w:r>
          </w:p>
        </w:tc>
        <w:tc>
          <w:tcPr>
            <w:tcW w:w="594"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11.01</w:t>
            </w:r>
          </w:p>
        </w:tc>
        <w:tc>
          <w:tcPr>
            <w:tcW w:w="685"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28.77</w:t>
            </w:r>
          </w:p>
        </w:tc>
        <w:tc>
          <w:tcPr>
            <w:tcW w:w="64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10.35</w:t>
            </w:r>
          </w:p>
        </w:tc>
        <w:tc>
          <w:tcPr>
            <w:tcW w:w="70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8.49</w:t>
            </w:r>
          </w:p>
        </w:tc>
        <w:tc>
          <w:tcPr>
            <w:tcW w:w="626"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29" w:type="pct"/>
            <w:tcBorders>
              <w:tl2br w:val="nil"/>
              <w:tr2bl w:val="nil"/>
            </w:tcBorders>
            <w:shd w:val="clear" w:color="auto" w:fill="auto"/>
            <w:vAlign w:val="center"/>
          </w:tcPr>
          <w:p>
            <w:pPr>
              <w:widowControl/>
              <w:spacing w:line="240" w:lineRule="auto"/>
              <w:ind w:firstLine="0" w:firstLineChars="0"/>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净利润总额（亿元）</w:t>
            </w:r>
          </w:p>
        </w:tc>
        <w:tc>
          <w:tcPr>
            <w:tcW w:w="570"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5251.25</w:t>
            </w:r>
          </w:p>
        </w:tc>
        <w:tc>
          <w:tcPr>
            <w:tcW w:w="633"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14623.98</w:t>
            </w:r>
          </w:p>
        </w:tc>
        <w:tc>
          <w:tcPr>
            <w:tcW w:w="594"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3020.12</w:t>
            </w:r>
          </w:p>
        </w:tc>
        <w:tc>
          <w:tcPr>
            <w:tcW w:w="685"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5147.22</w:t>
            </w:r>
          </w:p>
        </w:tc>
        <w:tc>
          <w:tcPr>
            <w:tcW w:w="64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994.76</w:t>
            </w:r>
          </w:p>
        </w:tc>
        <w:tc>
          <w:tcPr>
            <w:tcW w:w="70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426.99</w:t>
            </w:r>
          </w:p>
        </w:tc>
        <w:tc>
          <w:tcPr>
            <w:tcW w:w="626"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29464.32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9" w:type="pct"/>
            <w:tcBorders>
              <w:tl2br w:val="nil"/>
              <w:tr2bl w:val="nil"/>
            </w:tcBorders>
            <w:shd w:val="clear" w:color="auto" w:fill="auto"/>
            <w:vAlign w:val="center"/>
          </w:tcPr>
          <w:p>
            <w:pPr>
              <w:widowControl/>
              <w:spacing w:line="240" w:lineRule="auto"/>
              <w:ind w:firstLine="0" w:firstLineChars="0"/>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净利润占比（%）</w:t>
            </w:r>
          </w:p>
        </w:tc>
        <w:tc>
          <w:tcPr>
            <w:tcW w:w="570"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17.82</w:t>
            </w:r>
          </w:p>
        </w:tc>
        <w:tc>
          <w:tcPr>
            <w:tcW w:w="633"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49.63</w:t>
            </w:r>
          </w:p>
        </w:tc>
        <w:tc>
          <w:tcPr>
            <w:tcW w:w="594"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10.25</w:t>
            </w:r>
          </w:p>
        </w:tc>
        <w:tc>
          <w:tcPr>
            <w:tcW w:w="685"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17.47</w:t>
            </w:r>
          </w:p>
        </w:tc>
        <w:tc>
          <w:tcPr>
            <w:tcW w:w="64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3.38</w:t>
            </w:r>
          </w:p>
        </w:tc>
        <w:tc>
          <w:tcPr>
            <w:tcW w:w="70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1.45</w:t>
            </w:r>
          </w:p>
        </w:tc>
        <w:tc>
          <w:tcPr>
            <w:tcW w:w="626"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pct"/>
            <w:tcBorders>
              <w:tl2br w:val="nil"/>
              <w:tr2bl w:val="nil"/>
            </w:tcBorders>
            <w:shd w:val="clear" w:color="auto" w:fill="auto"/>
            <w:vAlign w:val="center"/>
          </w:tcPr>
          <w:p>
            <w:pPr>
              <w:widowControl/>
              <w:spacing w:line="240" w:lineRule="auto"/>
              <w:ind w:firstLine="0" w:firstLineChars="0"/>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营业收入总额（亿元）</w:t>
            </w:r>
          </w:p>
        </w:tc>
        <w:tc>
          <w:tcPr>
            <w:tcW w:w="570"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30826.64</w:t>
            </w:r>
          </w:p>
        </w:tc>
        <w:tc>
          <w:tcPr>
            <w:tcW w:w="633"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134421.23</w:t>
            </w:r>
          </w:p>
        </w:tc>
        <w:tc>
          <w:tcPr>
            <w:tcW w:w="594"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40123.29</w:t>
            </w:r>
          </w:p>
        </w:tc>
        <w:tc>
          <w:tcPr>
            <w:tcW w:w="685"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98965.12</w:t>
            </w:r>
          </w:p>
        </w:tc>
        <w:tc>
          <w:tcPr>
            <w:tcW w:w="64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31330.35</w:t>
            </w:r>
          </w:p>
        </w:tc>
        <w:tc>
          <w:tcPr>
            <w:tcW w:w="70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17053.02</w:t>
            </w:r>
          </w:p>
        </w:tc>
        <w:tc>
          <w:tcPr>
            <w:tcW w:w="626"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352719.66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529" w:type="pct"/>
            <w:tcBorders>
              <w:tl2br w:val="nil"/>
              <w:tr2bl w:val="nil"/>
            </w:tcBorders>
            <w:shd w:val="clear" w:color="auto" w:fill="auto"/>
            <w:vAlign w:val="center"/>
          </w:tcPr>
          <w:p>
            <w:pPr>
              <w:widowControl/>
              <w:spacing w:line="240" w:lineRule="auto"/>
              <w:ind w:firstLine="0" w:firstLineChars="0"/>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营业收入占比（%）</w:t>
            </w:r>
          </w:p>
        </w:tc>
        <w:tc>
          <w:tcPr>
            <w:tcW w:w="570"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8.74</w:t>
            </w:r>
          </w:p>
        </w:tc>
        <w:tc>
          <w:tcPr>
            <w:tcW w:w="633"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38.11</w:t>
            </w:r>
          </w:p>
        </w:tc>
        <w:tc>
          <w:tcPr>
            <w:tcW w:w="594"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11.38</w:t>
            </w:r>
          </w:p>
        </w:tc>
        <w:tc>
          <w:tcPr>
            <w:tcW w:w="685"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28.06</w:t>
            </w:r>
          </w:p>
        </w:tc>
        <w:tc>
          <w:tcPr>
            <w:tcW w:w="64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8.88</w:t>
            </w:r>
          </w:p>
        </w:tc>
        <w:tc>
          <w:tcPr>
            <w:tcW w:w="70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4.83</w:t>
            </w:r>
          </w:p>
        </w:tc>
        <w:tc>
          <w:tcPr>
            <w:tcW w:w="626"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29" w:type="pct"/>
            <w:tcBorders>
              <w:tl2br w:val="nil"/>
              <w:tr2bl w:val="nil"/>
            </w:tcBorders>
            <w:shd w:val="clear" w:color="auto" w:fill="auto"/>
            <w:vAlign w:val="center"/>
          </w:tcPr>
          <w:p>
            <w:pPr>
              <w:widowControl/>
              <w:spacing w:line="240" w:lineRule="auto"/>
              <w:ind w:firstLine="0" w:firstLineChars="0"/>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平均净利润（亿元）</w:t>
            </w:r>
          </w:p>
        </w:tc>
        <w:tc>
          <w:tcPr>
            <w:tcW w:w="570"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875.21</w:t>
            </w:r>
          </w:p>
        </w:tc>
        <w:tc>
          <w:tcPr>
            <w:tcW w:w="633"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124.99</w:t>
            </w:r>
          </w:p>
        </w:tc>
        <w:tc>
          <w:tcPr>
            <w:tcW w:w="594"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22.54</w:t>
            </w:r>
          </w:p>
        </w:tc>
        <w:tc>
          <w:tcPr>
            <w:tcW w:w="685"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4.22</w:t>
            </w:r>
          </w:p>
        </w:tc>
        <w:tc>
          <w:tcPr>
            <w:tcW w:w="64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0.78</w:t>
            </w:r>
          </w:p>
        </w:tc>
        <w:tc>
          <w:tcPr>
            <w:tcW w:w="70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0.18</w:t>
            </w:r>
          </w:p>
        </w:tc>
        <w:tc>
          <w:tcPr>
            <w:tcW w:w="626"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29" w:type="pct"/>
            <w:tcBorders>
              <w:tl2br w:val="nil"/>
              <w:tr2bl w:val="nil"/>
            </w:tcBorders>
            <w:shd w:val="clear" w:color="auto" w:fill="auto"/>
            <w:vAlign w:val="center"/>
          </w:tcPr>
          <w:p>
            <w:pPr>
              <w:widowControl/>
              <w:spacing w:line="240" w:lineRule="auto"/>
              <w:ind w:firstLine="0" w:firstLineChars="0"/>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平均营业收入（亿元）</w:t>
            </w:r>
          </w:p>
        </w:tc>
        <w:tc>
          <w:tcPr>
            <w:tcW w:w="570"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5137.77</w:t>
            </w:r>
          </w:p>
        </w:tc>
        <w:tc>
          <w:tcPr>
            <w:tcW w:w="633"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1148.90</w:t>
            </w:r>
          </w:p>
        </w:tc>
        <w:tc>
          <w:tcPr>
            <w:tcW w:w="594"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299.43</w:t>
            </w:r>
          </w:p>
        </w:tc>
        <w:tc>
          <w:tcPr>
            <w:tcW w:w="685"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81.25</w:t>
            </w:r>
          </w:p>
        </w:tc>
        <w:tc>
          <w:tcPr>
            <w:tcW w:w="64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24.42</w:t>
            </w:r>
          </w:p>
        </w:tc>
        <w:tc>
          <w:tcPr>
            <w:tcW w:w="709"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7.00</w:t>
            </w:r>
          </w:p>
        </w:tc>
        <w:tc>
          <w:tcPr>
            <w:tcW w:w="626" w:type="pct"/>
            <w:tcBorders>
              <w:tl2br w:val="nil"/>
              <w:tr2bl w:val="nil"/>
            </w:tcBorders>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67.92</w:t>
            </w:r>
          </w:p>
        </w:tc>
      </w:tr>
    </w:tbl>
    <w:p>
      <w:pPr>
        <w:pStyle w:val="44"/>
        <w:rPr>
          <w:rFonts w:ascii="宋体" w:hAnsi="宋体"/>
        </w:rPr>
      </w:pPr>
      <w:r>
        <w:rPr>
          <w:rFonts w:ascii="宋体" w:hAnsi="宋体"/>
        </w:rPr>
        <w:t>数据来源：Choice、易董研究所整理</w:t>
      </w:r>
    </w:p>
    <w:p>
      <w:pPr>
        <w:pStyle w:val="4"/>
      </w:pPr>
      <w:bookmarkStart w:id="80" w:name="_Toc147674767"/>
      <w:bookmarkEnd w:id="80"/>
      <w:bookmarkStart w:id="81" w:name="_Toc147674765"/>
      <w:bookmarkEnd w:id="81"/>
      <w:bookmarkStart w:id="82" w:name="_Toc147925165"/>
      <w:bookmarkEnd w:id="82"/>
      <w:bookmarkStart w:id="83" w:name="_Toc147910529"/>
      <w:bookmarkEnd w:id="83"/>
      <w:bookmarkStart w:id="84" w:name="_Toc147674766"/>
      <w:bookmarkEnd w:id="84"/>
      <w:bookmarkStart w:id="85" w:name="_Toc147925166"/>
      <w:bookmarkEnd w:id="85"/>
      <w:bookmarkStart w:id="86" w:name="_Toc147910532"/>
      <w:bookmarkEnd w:id="86"/>
      <w:bookmarkStart w:id="87" w:name="_Toc147910531"/>
      <w:bookmarkEnd w:id="87"/>
      <w:bookmarkStart w:id="88" w:name="_Toc147925069"/>
      <w:bookmarkEnd w:id="88"/>
      <w:bookmarkStart w:id="89" w:name="_Toc147910530"/>
      <w:bookmarkEnd w:id="89"/>
      <w:bookmarkStart w:id="90" w:name="_Toc147910627"/>
      <w:bookmarkEnd w:id="90"/>
      <w:bookmarkStart w:id="91" w:name="_Toc147925070"/>
      <w:bookmarkEnd w:id="91"/>
      <w:bookmarkStart w:id="92" w:name="_Toc147925066"/>
      <w:bookmarkEnd w:id="92"/>
      <w:bookmarkStart w:id="93" w:name="_Toc147674768"/>
      <w:bookmarkEnd w:id="93"/>
      <w:bookmarkStart w:id="94" w:name="_Toc147925068"/>
      <w:bookmarkEnd w:id="94"/>
      <w:bookmarkStart w:id="95" w:name="_Toc147925067"/>
      <w:bookmarkEnd w:id="95"/>
      <w:bookmarkStart w:id="96" w:name="_Toc147674864"/>
      <w:bookmarkEnd w:id="96"/>
      <w:bookmarkStart w:id="97" w:name="_Toc147910528"/>
      <w:bookmarkEnd w:id="97"/>
      <w:bookmarkStart w:id="98" w:name="_Toc147910628"/>
      <w:bookmarkEnd w:id="98"/>
      <w:bookmarkStart w:id="99" w:name="_Toc147674863"/>
      <w:bookmarkEnd w:id="99"/>
      <w:bookmarkStart w:id="100" w:name="_Toc146208954"/>
      <w:bookmarkStart w:id="101" w:name="_Toc147674865"/>
      <w:bookmarkStart w:id="102" w:name="_Toc148969279"/>
      <w:r>
        <w:t>头部上市公司是税费缴纳的“排头兵”</w:t>
      </w:r>
      <w:bookmarkEnd w:id="100"/>
      <w:r>
        <w:rPr>
          <w:rFonts w:hint="eastAsia"/>
        </w:rPr>
        <w:t>，有力推动经济发展</w:t>
      </w:r>
      <w:bookmarkEnd w:id="101"/>
      <w:bookmarkEnd w:id="102"/>
    </w:p>
    <w:p>
      <w:pPr>
        <w:ind w:firstLine="422"/>
        <w:rPr>
          <w:rFonts w:ascii="宋体" w:hAnsi="宋体" w:eastAsia="宋体" w:cstheme="majorHAnsi"/>
        </w:rPr>
      </w:pPr>
      <w:r>
        <w:rPr>
          <w:rFonts w:ascii="宋体" w:hAnsi="宋体" w:eastAsia="宋体" w:cstheme="majorHAnsi"/>
          <w:b/>
          <w:bCs/>
        </w:rPr>
        <w:t>从各市值</w:t>
      </w:r>
      <w:r>
        <w:rPr>
          <w:rFonts w:hint="eastAsia" w:ascii="宋体" w:hAnsi="宋体" w:eastAsia="宋体" w:cstheme="majorHAnsi"/>
          <w:b/>
          <w:bCs/>
        </w:rPr>
        <w:t>区间</w:t>
      </w:r>
      <w:r>
        <w:rPr>
          <w:rFonts w:ascii="宋体" w:hAnsi="宋体" w:eastAsia="宋体" w:cstheme="majorHAnsi"/>
          <w:b/>
          <w:bCs/>
        </w:rPr>
        <w:t>上市公司缴纳税费来看，2023年上半年，</w:t>
      </w:r>
      <w:r>
        <w:rPr>
          <w:rFonts w:ascii="宋体" w:hAnsi="宋体" w:eastAsia="宋体" w:cstheme="majorHAnsi"/>
        </w:rPr>
        <w:t>市值千亿以上的公司纳税总额为1.62万亿，占比高达62.35%，是税费缴纳的“排头兵”；50亿市值以下的上市公司纳税总额879.39亿元，占比仅为3.39%。相较于2022年上半年，50亿市值以下的上市公司和100-500亿市值上市公司的纳税总额均实现了正增长，同比增速分别为8.88%和6.03%，增长幅度较大，其他市值区间上市公司的纳税总额同比下降。</w:t>
      </w:r>
      <w:r>
        <w:rPr>
          <w:rFonts w:hint="eastAsia" w:ascii="宋体" w:hAnsi="宋体" w:eastAsia="宋体" w:cstheme="majorHAnsi"/>
        </w:rPr>
        <w:t>由于市值千亿以上上市公司的纳税总额占比加大，因</w:t>
      </w:r>
      <w:r>
        <w:rPr>
          <w:rFonts w:ascii="宋体" w:hAnsi="宋体" w:eastAsia="宋体" w:cstheme="majorHAnsi"/>
        </w:rPr>
        <w:t>2023年上半年</w:t>
      </w:r>
      <w:r>
        <w:rPr>
          <w:rFonts w:hint="eastAsia" w:ascii="宋体" w:hAnsi="宋体" w:eastAsia="宋体" w:cstheme="majorHAnsi"/>
        </w:rPr>
        <w:t>这部分上市公司纳税总额下降较大</w:t>
      </w:r>
      <w:r>
        <w:rPr>
          <w:rFonts w:ascii="宋体" w:hAnsi="宋体" w:eastAsia="宋体" w:cstheme="majorHAnsi"/>
        </w:rPr>
        <w:t>，</w:t>
      </w:r>
      <w:r>
        <w:rPr>
          <w:rFonts w:hint="eastAsia" w:ascii="宋体" w:hAnsi="宋体" w:eastAsia="宋体" w:cstheme="majorHAnsi"/>
        </w:rPr>
        <w:t>影响全部上市公司纳税总额的增长。</w:t>
      </w:r>
    </w:p>
    <w:p>
      <w:pPr>
        <w:pStyle w:val="7"/>
        <w:rPr>
          <w:rStyle w:val="25"/>
          <w:rFonts w:ascii="宋体" w:hAnsi="宋体"/>
        </w:rPr>
      </w:pPr>
      <w:r>
        <w:rPr>
          <w:rFonts w:ascii="宋体" w:hAnsi="宋体"/>
        </w:rPr>
        <w:t xml:space="preserve">表 </w:t>
      </w:r>
      <w:r>
        <w:rPr>
          <w:rFonts w:ascii="宋体" w:hAnsi="宋体"/>
        </w:rPr>
        <w:fldChar w:fldCharType="begin"/>
      </w:r>
      <w:r>
        <w:rPr>
          <w:rFonts w:ascii="宋体" w:hAnsi="宋体"/>
        </w:rPr>
        <w:instrText xml:space="preserve"> SEQ 表 \* ARABIC </w:instrText>
      </w:r>
      <w:r>
        <w:rPr>
          <w:rFonts w:ascii="宋体" w:hAnsi="宋体"/>
        </w:rPr>
        <w:fldChar w:fldCharType="separate"/>
      </w:r>
      <w:r>
        <w:rPr>
          <w:rFonts w:ascii="宋体" w:hAnsi="宋体"/>
        </w:rPr>
        <w:t>5</w:t>
      </w:r>
      <w:r>
        <w:rPr>
          <w:rFonts w:ascii="宋体" w:hAnsi="宋体"/>
        </w:rPr>
        <w:fldChar w:fldCharType="end"/>
      </w:r>
      <w:r>
        <w:rPr>
          <w:rFonts w:ascii="宋体" w:hAnsi="宋体"/>
        </w:rPr>
        <w:t xml:space="preserve"> 2023年上半年各市值区间上市公司纳税情况</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1280"/>
        <w:gridCol w:w="1280"/>
        <w:gridCol w:w="1028"/>
        <w:gridCol w:w="102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56" w:type="pct"/>
            <w:vMerge w:val="restar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市值区间</w:t>
            </w:r>
          </w:p>
        </w:tc>
        <w:tc>
          <w:tcPr>
            <w:tcW w:w="1502" w:type="pct"/>
            <w:gridSpan w:val="2"/>
            <w:vMerge w:val="restar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纳税总额（亿元）</w:t>
            </w:r>
          </w:p>
        </w:tc>
        <w:tc>
          <w:tcPr>
            <w:tcW w:w="1205" w:type="pct"/>
            <w:gridSpan w:val="2"/>
            <w:vMerge w:val="restar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纳税占比</w:t>
            </w:r>
          </w:p>
        </w:tc>
        <w:tc>
          <w:tcPr>
            <w:tcW w:w="1037" w:type="pct"/>
            <w:vMerge w:val="restar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纳税总额变化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56" w:type="pct"/>
            <w:vMerge w:val="continue"/>
            <w:shd w:val="clear" w:color="auto" w:fill="E7E6E6" w:themeFill="background2"/>
            <w:vAlign w:val="center"/>
          </w:tcPr>
          <w:p>
            <w:pPr>
              <w:spacing w:line="240" w:lineRule="auto"/>
              <w:ind w:firstLine="0" w:firstLineChars="0"/>
              <w:jc w:val="center"/>
              <w:rPr>
                <w:rFonts w:ascii="宋体" w:hAnsi="宋体" w:eastAsia="宋体" w:cstheme="majorHAnsi"/>
                <w:b/>
                <w:bCs/>
                <w:color w:val="000000"/>
                <w:sz w:val="18"/>
                <w:szCs w:val="18"/>
              </w:rPr>
            </w:pPr>
          </w:p>
        </w:tc>
        <w:tc>
          <w:tcPr>
            <w:tcW w:w="1502" w:type="pct"/>
            <w:gridSpan w:val="2"/>
            <w:vMerge w:val="continue"/>
            <w:shd w:val="clear" w:color="auto" w:fill="E7E6E6" w:themeFill="background2"/>
            <w:vAlign w:val="center"/>
          </w:tcPr>
          <w:p>
            <w:pPr>
              <w:spacing w:line="240" w:lineRule="auto"/>
              <w:ind w:firstLine="0" w:firstLineChars="0"/>
              <w:jc w:val="center"/>
              <w:rPr>
                <w:rFonts w:ascii="宋体" w:hAnsi="宋体" w:eastAsia="宋体" w:cstheme="majorHAnsi"/>
                <w:b/>
                <w:bCs/>
                <w:color w:val="000000"/>
                <w:sz w:val="18"/>
                <w:szCs w:val="18"/>
              </w:rPr>
            </w:pPr>
          </w:p>
        </w:tc>
        <w:tc>
          <w:tcPr>
            <w:tcW w:w="1205" w:type="pct"/>
            <w:gridSpan w:val="2"/>
            <w:vMerge w:val="continue"/>
            <w:shd w:val="clear" w:color="auto" w:fill="E7E6E6" w:themeFill="background2"/>
            <w:vAlign w:val="center"/>
          </w:tcPr>
          <w:p>
            <w:pPr>
              <w:spacing w:line="240" w:lineRule="auto"/>
              <w:ind w:firstLine="0" w:firstLineChars="0"/>
              <w:jc w:val="center"/>
              <w:rPr>
                <w:rFonts w:ascii="宋体" w:hAnsi="宋体" w:eastAsia="宋体" w:cstheme="majorHAnsi"/>
                <w:b/>
                <w:bCs/>
                <w:color w:val="000000"/>
                <w:sz w:val="18"/>
                <w:szCs w:val="18"/>
              </w:rPr>
            </w:pPr>
          </w:p>
        </w:tc>
        <w:tc>
          <w:tcPr>
            <w:tcW w:w="1037" w:type="pct"/>
            <w:vMerge w:val="continue"/>
            <w:shd w:val="clear" w:color="auto" w:fill="E7E6E6" w:themeFill="background2"/>
            <w:vAlign w:val="center"/>
          </w:tcPr>
          <w:p>
            <w:pPr>
              <w:spacing w:line="240" w:lineRule="auto"/>
              <w:ind w:firstLine="0" w:firstLineChars="0"/>
              <w:jc w:val="center"/>
              <w:rPr>
                <w:rFonts w:ascii="宋体" w:hAnsi="宋体" w:eastAsia="宋体" w:cstheme="majorHAnsi"/>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56" w:type="pct"/>
            <w:vMerge w:val="continue"/>
            <w:shd w:val="clear" w:color="auto" w:fill="E7E6E6" w:themeFill="background2"/>
            <w:vAlign w:val="center"/>
          </w:tcPr>
          <w:p>
            <w:pPr>
              <w:spacing w:line="240" w:lineRule="auto"/>
              <w:ind w:firstLine="0" w:firstLineChars="0"/>
              <w:jc w:val="center"/>
              <w:rPr>
                <w:rFonts w:ascii="宋体" w:hAnsi="宋体" w:eastAsia="宋体" w:cstheme="majorHAnsi"/>
                <w:b/>
                <w:bCs/>
                <w:color w:val="000000"/>
                <w:sz w:val="18"/>
                <w:szCs w:val="18"/>
              </w:rPr>
            </w:pPr>
          </w:p>
        </w:tc>
        <w:tc>
          <w:tcPr>
            <w:tcW w:w="751" w:type="pc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2022</w:t>
            </w:r>
          </w:p>
        </w:tc>
        <w:tc>
          <w:tcPr>
            <w:tcW w:w="751" w:type="pc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2023</w:t>
            </w:r>
          </w:p>
        </w:tc>
        <w:tc>
          <w:tcPr>
            <w:tcW w:w="603" w:type="pc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2022</w:t>
            </w:r>
          </w:p>
        </w:tc>
        <w:tc>
          <w:tcPr>
            <w:tcW w:w="603" w:type="pc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2023</w:t>
            </w:r>
          </w:p>
        </w:tc>
        <w:tc>
          <w:tcPr>
            <w:tcW w:w="1037" w:type="pc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56" w:type="pct"/>
            <w:shd w:val="clear" w:color="auto" w:fill="auto"/>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万亿以上</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5097.14</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4664.60</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18.81%</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17.97%</w:t>
            </w:r>
          </w:p>
        </w:tc>
        <w:tc>
          <w:tcPr>
            <w:tcW w:w="1037"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56" w:type="pct"/>
            <w:shd w:val="clear" w:color="auto" w:fill="auto"/>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1000亿-10000亿</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12148.05</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11520.94</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44.83%</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44.38%</w:t>
            </w:r>
          </w:p>
        </w:tc>
        <w:tc>
          <w:tcPr>
            <w:tcW w:w="1037"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56" w:type="pct"/>
            <w:shd w:val="clear" w:color="auto" w:fill="auto"/>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500亿-1000亿</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2231.17</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2365.62</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8.23%</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9.11%</w:t>
            </w:r>
          </w:p>
        </w:tc>
        <w:tc>
          <w:tcPr>
            <w:tcW w:w="1037"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56" w:type="pct"/>
            <w:shd w:val="clear" w:color="auto" w:fill="auto"/>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100亿-500亿</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5342.94</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5119.15</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19.72%</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19.72%</w:t>
            </w:r>
          </w:p>
        </w:tc>
        <w:tc>
          <w:tcPr>
            <w:tcW w:w="1037"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56" w:type="pct"/>
            <w:shd w:val="clear" w:color="auto" w:fill="auto"/>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50亿-100亿</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1470.11</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1407.39</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5.43%</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5.42%</w:t>
            </w:r>
          </w:p>
        </w:tc>
        <w:tc>
          <w:tcPr>
            <w:tcW w:w="1037"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56" w:type="pct"/>
            <w:shd w:val="clear" w:color="auto" w:fill="auto"/>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50亿以下</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807.66</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879.39</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2.98%</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3.39%</w:t>
            </w:r>
          </w:p>
        </w:tc>
        <w:tc>
          <w:tcPr>
            <w:tcW w:w="1037" w:type="pct"/>
            <w:shd w:val="clear" w:color="auto" w:fill="auto"/>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56" w:type="pct"/>
            <w:shd w:val="clear" w:color="auto" w:fill="auto"/>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累计</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27097.08</w:t>
            </w:r>
          </w:p>
        </w:tc>
        <w:tc>
          <w:tcPr>
            <w:tcW w:w="751" w:type="pct"/>
            <w:shd w:val="clear" w:color="auto" w:fill="auto"/>
            <w:vAlign w:val="center"/>
          </w:tcPr>
          <w:p>
            <w:pPr>
              <w:widowControl/>
              <w:spacing w:line="240" w:lineRule="auto"/>
              <w:ind w:firstLine="0" w:firstLineChars="0"/>
              <w:jc w:val="right"/>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25957.09</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100</w:t>
            </w:r>
          </w:p>
        </w:tc>
        <w:tc>
          <w:tcPr>
            <w:tcW w:w="603" w:type="pct"/>
            <w:shd w:val="clear" w:color="auto" w:fill="auto"/>
            <w:vAlign w:val="center"/>
          </w:tcPr>
          <w:p>
            <w:pPr>
              <w:widowControl/>
              <w:spacing w:line="240" w:lineRule="auto"/>
              <w:ind w:firstLine="0" w:firstLineChars="0"/>
              <w:jc w:val="right"/>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100</w:t>
            </w:r>
          </w:p>
        </w:tc>
        <w:tc>
          <w:tcPr>
            <w:tcW w:w="1037" w:type="pct"/>
            <w:shd w:val="clear" w:color="auto" w:fill="auto"/>
            <w:vAlign w:val="center"/>
          </w:tcPr>
          <w:p>
            <w:pPr>
              <w:widowControl/>
              <w:spacing w:line="240" w:lineRule="auto"/>
              <w:ind w:firstLine="0" w:firstLineChars="0"/>
              <w:jc w:val="right"/>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-4.21%</w:t>
            </w:r>
          </w:p>
        </w:tc>
      </w:tr>
    </w:tbl>
    <w:p>
      <w:pPr>
        <w:pStyle w:val="44"/>
        <w:rPr>
          <w:rFonts w:ascii="宋体" w:hAnsi="宋体"/>
        </w:rPr>
      </w:pPr>
      <w:r>
        <w:rPr>
          <w:rFonts w:ascii="宋体" w:hAnsi="宋体"/>
        </w:rPr>
        <w:t>数据来源：Choice、易董研究所整理</w:t>
      </w:r>
    </w:p>
    <w:p>
      <w:pPr>
        <w:ind w:firstLine="0" w:firstLineChars="0"/>
        <w:rPr>
          <w:rFonts w:ascii="宋体" w:hAnsi="宋体" w:eastAsia="宋体" w:cstheme="majorHAnsi"/>
        </w:rPr>
      </w:pPr>
    </w:p>
    <w:p>
      <w:pPr>
        <w:pStyle w:val="4"/>
      </w:pPr>
      <w:bookmarkStart w:id="103" w:name="_Toc147674866"/>
      <w:bookmarkStart w:id="104" w:name="_Toc148969280"/>
      <w:r>
        <w:t>银行</w:t>
      </w:r>
      <w:r>
        <w:rPr>
          <w:rFonts w:hint="eastAsia"/>
        </w:rPr>
        <w:t>业</w:t>
      </w:r>
      <w:r>
        <w:t>净利润</w:t>
      </w:r>
      <w:r>
        <w:rPr>
          <w:rFonts w:hint="eastAsia"/>
        </w:rPr>
        <w:t>稳固，</w:t>
      </w:r>
      <w:bookmarkStart w:id="105" w:name="_Toc146208955"/>
      <w:r>
        <w:t>社会服务、电力设备、汽车行业营收增长迅速</w:t>
      </w:r>
      <w:bookmarkEnd w:id="103"/>
      <w:bookmarkEnd w:id="104"/>
      <w:bookmarkEnd w:id="105"/>
    </w:p>
    <w:p>
      <w:pPr>
        <w:rPr>
          <w:rFonts w:ascii="宋体" w:hAnsi="宋体" w:eastAsia="宋体" w:cstheme="majorHAnsi"/>
        </w:rPr>
      </w:pPr>
      <w:r>
        <w:rPr>
          <w:rFonts w:hint="eastAsia" w:ascii="宋体" w:hAnsi="宋体" w:eastAsia="宋体" w:cstheme="majorHAnsi"/>
        </w:rPr>
        <w:t>2023年上半年，A股上市公司中，42家银行净利润合计10874.36亿元，同比增长3.40%，占全市场净利36.91%。按照对银行业净利润贡献占比情况，将银行业上市公司分为三类，第一类为净利润占比10%-20%的银行，共4家银行且全部为中央国有企业，其中工商银行净利润为1737.44亿元（15.98%）、建设银行净利润为1673亿元（15.39</w:t>
      </w:r>
      <w:r>
        <w:rPr>
          <w:rFonts w:ascii="宋体" w:hAnsi="宋体" w:eastAsia="宋体" w:cstheme="majorHAnsi"/>
        </w:rPr>
        <w:t>%</w:t>
      </w:r>
      <w:r>
        <w:rPr>
          <w:rFonts w:hint="eastAsia" w:ascii="宋体" w:hAnsi="宋体" w:eastAsia="宋体" w:cstheme="majorHAnsi"/>
        </w:rPr>
        <w:t>）、农业银行净利润为1332.34亿元（12.25%）、中国银行净利润为1200.95亿元（11.04%）；第二类为净利润占比1%-10%的银行，共14家银行，其中招商银行净利润为757.52亿元，占比6.97%，其余13家银行占比在5%以下；第三类为净利润占比1%以下的银行，共24家银行，其中南京银行、杭州银行、浙商银行等6家银行占比超0.5%。总的来说，中国银行业在上半年实现了稳健的净利润增长，对A股上市公司整体利润增长起到了重要的支撑作用。</w:t>
      </w:r>
    </w:p>
    <w:p>
      <w:pPr>
        <w:rPr>
          <w:rFonts w:ascii="宋体" w:hAnsi="宋体" w:eastAsia="宋体" w:cstheme="majorHAnsi"/>
        </w:rPr>
      </w:pPr>
      <w:r>
        <w:rPr>
          <w:rFonts w:ascii="宋体" w:hAnsi="宋体" w:eastAsia="宋体" w:cstheme="majorHAnsi"/>
        </w:rPr>
        <w:t>从各行业营收情况来看，A股上市公司上半年近七成行业较去年同期营业收入实现增长。截至2023年6月30日，在申万一级分类的31个行业中，有21个行业营业收入呈增长趋势，其中营业收入增幅最高的</w:t>
      </w:r>
      <w:r>
        <w:rPr>
          <w:rFonts w:ascii="宋体" w:hAnsi="宋体"/>
          <w:b/>
        </w:rPr>
        <w:t>前5大行业</w:t>
      </w:r>
      <w:r>
        <w:rPr>
          <w:rFonts w:ascii="宋体" w:hAnsi="宋体" w:eastAsia="宋体" w:cstheme="majorHAnsi"/>
        </w:rPr>
        <w:t>与同比增长情况分别为：社会服务（30.50%）、电力设备（21.64%）、汽车（19.39%）、国防军工（15.05%）</w:t>
      </w:r>
      <w:r>
        <w:rPr>
          <w:rFonts w:hint="eastAsia" w:ascii="宋体" w:hAnsi="宋体" w:eastAsia="宋体" w:cstheme="majorHAnsi"/>
        </w:rPr>
        <w:t>、</w:t>
      </w:r>
      <w:r>
        <w:rPr>
          <w:rFonts w:ascii="宋体" w:hAnsi="宋体" w:eastAsia="宋体" w:cstheme="majorHAnsi"/>
        </w:rPr>
        <w:t>农林牧渔（9.94%）。其中社会服务行业上半年营业收入609.60亿元，同比增长30.50%，增长幅度为各大行业之首。营业收入下降的行业共10个，其中降幅前五的行业依次为非银金融（-13.44%）、基础化工（-9.89%）、钢铁（-8.05%）、煤炭（-7.54%）、电子（-7.05%）。</w:t>
      </w:r>
    </w:p>
    <w:p>
      <w:pPr>
        <w:rPr>
          <w:rFonts w:ascii="宋体" w:hAnsi="宋体" w:eastAsia="宋体" w:cstheme="majorHAnsi"/>
        </w:rPr>
      </w:pPr>
      <w:r>
        <w:rPr>
          <w:rFonts w:ascii="宋体" w:hAnsi="宋体" w:eastAsia="宋体" w:cstheme="majorHAnsi"/>
        </w:rPr>
        <w:t>从净利变化情况来看，20个行业实现净利润增长，其中增长幅度前五的行业分别为社会服务（196.47%）、公用事业（37.02%）、汽车（29.13%）、美容护理（29.04%）、交通运输（19.49%）；11</w:t>
      </w:r>
      <w:r>
        <w:rPr>
          <w:rFonts w:hint="eastAsia" w:ascii="宋体" w:hAnsi="宋体" w:eastAsia="宋体" w:cstheme="majorHAnsi"/>
        </w:rPr>
        <w:t>个</w:t>
      </w:r>
      <w:r>
        <w:rPr>
          <w:rFonts w:ascii="宋体" w:hAnsi="宋体" w:eastAsia="宋体" w:cstheme="majorHAnsi"/>
        </w:rPr>
        <w:t>行业净利润出现下降，下降幅度前五的行业依次为综合（-136.50%）、钢铁（-70.65%）、基础化工（-52.61%）、电子（-48.54%）、建筑材料（-40.57%）。</w:t>
      </w:r>
    </w:p>
    <w:p>
      <w:pPr>
        <w:rPr>
          <w:rFonts w:ascii="宋体" w:hAnsi="宋体" w:eastAsia="宋体" w:cstheme="majorHAnsi"/>
        </w:rPr>
      </w:pPr>
      <w:r>
        <w:rPr>
          <w:rFonts w:ascii="宋体" w:hAnsi="宋体" w:eastAsia="宋体" w:cstheme="majorHAnsi"/>
        </w:rPr>
        <w:t>电力设备行业表现突出</w:t>
      </w:r>
      <w:r>
        <w:rPr>
          <w:rFonts w:hint="eastAsia" w:ascii="宋体" w:hAnsi="宋体" w:eastAsia="宋体" w:cstheme="majorHAnsi"/>
        </w:rPr>
        <w:t>。全</w:t>
      </w:r>
      <w:r>
        <w:rPr>
          <w:rFonts w:ascii="宋体" w:hAnsi="宋体" w:eastAsia="宋体" w:cstheme="majorHAnsi"/>
        </w:rPr>
        <w:t>行业上市公司数量为354家，营业收入为17,293.22亿元，较去年同比增长21.64%，近7成（246家）上市公司上半年营业收入较同期上涨，过半（190家）上市公司实现营收净利双增长。从产业链与技术创新来看，新能源、智能电网等新兴技术方向的出现，为电力设备行业提供了更多的发展机遇。</w:t>
      </w:r>
    </w:p>
    <w:p>
      <w:pPr>
        <w:rPr>
          <w:rFonts w:ascii="宋体" w:hAnsi="宋体" w:eastAsia="宋体" w:cstheme="majorHAnsi"/>
        </w:rPr>
      </w:pPr>
      <w:r>
        <w:rPr>
          <w:rFonts w:ascii="宋体" w:hAnsi="宋体" w:eastAsia="宋体" w:cstheme="majorHAnsi"/>
        </w:rPr>
        <w:t>汽车行业上半年实现营收16,800.46亿元，同比增长19.39%；实现净利润635.69亿元，同比增长29.13%，增速排名第2，仅次于公用事业。受益于产业、能源结构转型，新能源汽车等战略性新兴产业的发展，推动车企创利表现突出。</w:t>
      </w:r>
    </w:p>
    <w:p/>
    <w:p>
      <w:pPr>
        <w:pStyle w:val="4"/>
      </w:pPr>
      <w:bookmarkStart w:id="106" w:name="_Toc148965147"/>
      <w:bookmarkEnd w:id="106"/>
      <w:bookmarkStart w:id="107" w:name="_Toc148898913"/>
      <w:bookmarkEnd w:id="107"/>
      <w:bookmarkStart w:id="108" w:name="_Toc148910227"/>
      <w:bookmarkEnd w:id="108"/>
      <w:bookmarkStart w:id="109" w:name="_Toc148964637"/>
      <w:bookmarkEnd w:id="109"/>
      <w:bookmarkStart w:id="110" w:name="_Toc148964893"/>
      <w:bookmarkEnd w:id="110"/>
      <w:bookmarkStart w:id="111" w:name="_Toc148909743"/>
      <w:bookmarkEnd w:id="111"/>
      <w:bookmarkStart w:id="112" w:name="_Toc148958660"/>
      <w:bookmarkEnd w:id="112"/>
      <w:bookmarkStart w:id="113" w:name="_Toc148910228"/>
      <w:bookmarkEnd w:id="113"/>
      <w:bookmarkStart w:id="114" w:name="_Toc148898415"/>
      <w:bookmarkEnd w:id="114"/>
      <w:bookmarkStart w:id="115" w:name="_Toc148520491"/>
      <w:bookmarkEnd w:id="115"/>
      <w:bookmarkStart w:id="116" w:name="_Toc148965404"/>
      <w:bookmarkEnd w:id="116"/>
      <w:bookmarkStart w:id="117" w:name="_Toc148909974"/>
      <w:bookmarkEnd w:id="117"/>
      <w:bookmarkStart w:id="118" w:name="_Toc148964894"/>
      <w:bookmarkEnd w:id="118"/>
      <w:bookmarkStart w:id="119" w:name="_Toc148910229"/>
      <w:bookmarkEnd w:id="119"/>
      <w:bookmarkStart w:id="120" w:name="_Toc148964639"/>
      <w:bookmarkEnd w:id="120"/>
      <w:bookmarkStart w:id="121" w:name="_Toc148898915"/>
      <w:bookmarkEnd w:id="121"/>
      <w:bookmarkStart w:id="122" w:name="_Toc148965149"/>
      <w:bookmarkEnd w:id="122"/>
      <w:bookmarkStart w:id="123" w:name="_Toc148899113"/>
      <w:bookmarkEnd w:id="123"/>
      <w:bookmarkStart w:id="124" w:name="_Toc148909744"/>
      <w:bookmarkEnd w:id="124"/>
      <w:bookmarkStart w:id="125" w:name="_Toc148958661"/>
      <w:bookmarkEnd w:id="125"/>
      <w:bookmarkStart w:id="126" w:name="_Toc148910427"/>
      <w:bookmarkEnd w:id="126"/>
      <w:bookmarkStart w:id="127" w:name="_Toc148965092"/>
      <w:bookmarkEnd w:id="127"/>
      <w:bookmarkStart w:id="128" w:name="_Toc148958859"/>
      <w:bookmarkEnd w:id="128"/>
      <w:bookmarkStart w:id="129" w:name="_Toc148965602"/>
      <w:bookmarkEnd w:id="129"/>
      <w:bookmarkStart w:id="130" w:name="_Toc148910172"/>
      <w:bookmarkEnd w:id="130"/>
      <w:bookmarkStart w:id="131" w:name="_Toc148898613"/>
      <w:bookmarkEnd w:id="131"/>
      <w:bookmarkStart w:id="132" w:name="_Toc148964837"/>
      <w:bookmarkEnd w:id="132"/>
      <w:bookmarkStart w:id="133" w:name="_Toc148965347"/>
      <w:bookmarkEnd w:id="133"/>
      <w:bookmarkStart w:id="134" w:name="_Toc148909942"/>
      <w:bookmarkEnd w:id="134"/>
      <w:bookmarkStart w:id="135" w:name="_Toc148520689"/>
      <w:bookmarkEnd w:id="135"/>
      <w:bookmarkStart w:id="136" w:name="_Toc148520690"/>
      <w:bookmarkEnd w:id="136"/>
      <w:bookmarkStart w:id="137" w:name="_Toc148965603"/>
      <w:bookmarkEnd w:id="137"/>
      <w:bookmarkStart w:id="138" w:name="_Toc148898614"/>
      <w:bookmarkEnd w:id="138"/>
      <w:bookmarkStart w:id="139" w:name="_Toc148909943"/>
      <w:bookmarkEnd w:id="139"/>
      <w:bookmarkStart w:id="140" w:name="_Toc148958860"/>
      <w:bookmarkEnd w:id="140"/>
      <w:bookmarkStart w:id="141" w:name="_Toc148965093"/>
      <w:bookmarkEnd w:id="141"/>
      <w:bookmarkStart w:id="142" w:name="_Toc148899114"/>
      <w:bookmarkEnd w:id="142"/>
      <w:bookmarkStart w:id="143" w:name="_Toc148910173"/>
      <w:bookmarkEnd w:id="143"/>
      <w:bookmarkStart w:id="144" w:name="_Toc148964838"/>
      <w:bookmarkEnd w:id="144"/>
      <w:bookmarkStart w:id="145" w:name="_Toc147925171"/>
      <w:bookmarkEnd w:id="145"/>
      <w:bookmarkStart w:id="146" w:name="_Toc147910632"/>
      <w:bookmarkEnd w:id="146"/>
      <w:bookmarkStart w:id="147" w:name="_Toc148910428"/>
      <w:bookmarkEnd w:id="147"/>
      <w:bookmarkStart w:id="148" w:name="_Toc148965348"/>
      <w:bookmarkEnd w:id="148"/>
      <w:bookmarkStart w:id="149" w:name="_Toc147910633"/>
      <w:bookmarkEnd w:id="149"/>
      <w:bookmarkStart w:id="150" w:name="_Toc147925169"/>
      <w:bookmarkEnd w:id="150"/>
      <w:bookmarkStart w:id="151" w:name="_Toc147910631"/>
      <w:bookmarkEnd w:id="151"/>
      <w:bookmarkStart w:id="152" w:name="_Toc147925170"/>
      <w:bookmarkEnd w:id="152"/>
      <w:bookmarkStart w:id="153" w:name="_Toc148964892"/>
      <w:bookmarkEnd w:id="153"/>
      <w:bookmarkStart w:id="154" w:name="_Toc148958659"/>
      <w:bookmarkEnd w:id="154"/>
      <w:bookmarkStart w:id="155" w:name="_Toc148909742"/>
      <w:bookmarkEnd w:id="155"/>
      <w:bookmarkStart w:id="156" w:name="_Toc148965402"/>
      <w:bookmarkEnd w:id="156"/>
      <w:bookmarkStart w:id="157" w:name="_Toc148520489"/>
      <w:bookmarkEnd w:id="157"/>
      <w:bookmarkStart w:id="158" w:name="_Toc148898413"/>
      <w:bookmarkEnd w:id="158"/>
      <w:bookmarkStart w:id="159" w:name="_Toc148909972"/>
      <w:bookmarkEnd w:id="159"/>
      <w:bookmarkStart w:id="160" w:name="_Toc148965403"/>
      <w:bookmarkEnd w:id="160"/>
      <w:bookmarkStart w:id="161" w:name="_Toc148964638"/>
      <w:bookmarkEnd w:id="161"/>
      <w:bookmarkStart w:id="162" w:name="_Toc148965148"/>
      <w:bookmarkEnd w:id="162"/>
      <w:bookmarkStart w:id="163" w:name="_Toc148520490"/>
      <w:bookmarkEnd w:id="163"/>
      <w:bookmarkStart w:id="164" w:name="_Toc148909973"/>
      <w:bookmarkEnd w:id="164"/>
      <w:bookmarkStart w:id="165" w:name="_Toc148898414"/>
      <w:bookmarkEnd w:id="165"/>
      <w:bookmarkStart w:id="166" w:name="_Toc148898914"/>
      <w:bookmarkEnd w:id="166"/>
      <w:bookmarkStart w:id="167" w:name="_Toc145323808"/>
      <w:bookmarkStart w:id="168" w:name="_Toc146208958"/>
      <w:bookmarkStart w:id="169" w:name="_Toc147674868"/>
      <w:bookmarkStart w:id="170" w:name="_Toc148969281"/>
      <w:bookmarkStart w:id="171" w:name="_Toc145323812"/>
      <w:r>
        <w:t>A股分红增长8.52%，</w:t>
      </w:r>
      <w:bookmarkEnd w:id="167"/>
      <w:bookmarkStart w:id="172" w:name="_Toc145323821"/>
      <w:r>
        <w:t>华东</w:t>
      </w:r>
      <w:r>
        <w:rPr>
          <w:rFonts w:hint="eastAsia"/>
        </w:rPr>
        <w:t>与华北</w:t>
      </w:r>
      <w:r>
        <w:t>地区</w:t>
      </w:r>
      <w:r>
        <w:rPr>
          <w:rFonts w:hint="eastAsia"/>
        </w:rPr>
        <w:t>分红总额</w:t>
      </w:r>
      <w:r>
        <w:t>占</w:t>
      </w:r>
      <w:bookmarkEnd w:id="168"/>
      <w:r>
        <w:rPr>
          <w:rFonts w:hint="eastAsia"/>
        </w:rPr>
        <w:t>比均超3</w:t>
      </w:r>
      <w:r>
        <w:t>0%</w:t>
      </w:r>
      <w:bookmarkEnd w:id="169"/>
      <w:bookmarkEnd w:id="170"/>
    </w:p>
    <w:p>
      <w:pPr>
        <w:rPr>
          <w:rFonts w:ascii="宋体" w:hAnsi="宋体" w:eastAsia="宋体" w:cstheme="majorHAnsi"/>
        </w:rPr>
      </w:pPr>
      <w:r>
        <w:rPr>
          <w:rFonts w:ascii="宋体" w:hAnsi="宋体" w:eastAsia="宋体" w:cstheme="majorHAnsi"/>
        </w:rPr>
        <w:t>整体来看，上半年实施现金分红总额为8,889.80亿元，较去年同期增加了697.92亿元，同比增长8.52%，现金分红总额进一步提升，持续稳固投资者信心。2,556家上市公司实施现金分红，占</w:t>
      </w:r>
      <w:r>
        <w:rPr>
          <w:rFonts w:hint="eastAsia" w:ascii="宋体" w:hAnsi="宋体" w:eastAsia="宋体" w:cstheme="majorHAnsi"/>
        </w:rPr>
        <w:t>A股上市公司数量的</w:t>
      </w:r>
      <w:r>
        <w:rPr>
          <w:rFonts w:ascii="宋体" w:hAnsi="宋体" w:eastAsia="宋体" w:cstheme="majorHAnsi"/>
        </w:rPr>
        <w:t>49.20%</w:t>
      </w:r>
      <w:r>
        <w:rPr>
          <w:rFonts w:hint="eastAsia" w:ascii="宋体" w:hAnsi="宋体" w:eastAsia="宋体" w:cstheme="majorHAnsi"/>
        </w:rPr>
        <w:t>，占A股可分红上市公司数量的5</w:t>
      </w:r>
      <w:r>
        <w:rPr>
          <w:rFonts w:ascii="宋体" w:hAnsi="宋体" w:eastAsia="宋体" w:cstheme="majorHAnsi"/>
        </w:rPr>
        <w:t>8.01%。</w:t>
      </w:r>
      <w:r>
        <w:rPr>
          <w:rFonts w:hint="eastAsia" w:ascii="宋体" w:hAnsi="宋体" w:eastAsia="宋体" w:cstheme="majorHAnsi"/>
        </w:rPr>
        <w:t>其中，华东地区、华南地区的可分红上市公司中，有超6成上市公司实施分红，分别为</w:t>
      </w:r>
      <w:r>
        <w:rPr>
          <w:rFonts w:ascii="宋体" w:hAnsi="宋体" w:eastAsia="宋体" w:cstheme="majorHAnsi"/>
        </w:rPr>
        <w:t>1337</w:t>
      </w:r>
      <w:r>
        <w:rPr>
          <w:rFonts w:hint="eastAsia" w:ascii="宋体" w:hAnsi="宋体" w:eastAsia="宋体" w:cstheme="majorHAnsi"/>
        </w:rPr>
        <w:t>家、</w:t>
      </w:r>
      <w:r>
        <w:rPr>
          <w:rFonts w:ascii="宋体" w:hAnsi="宋体" w:eastAsia="宋体" w:cstheme="majorHAnsi"/>
        </w:rPr>
        <w:t>594</w:t>
      </w:r>
      <w:r>
        <w:rPr>
          <w:rFonts w:hint="eastAsia" w:ascii="宋体" w:hAnsi="宋体" w:eastAsia="宋体" w:cstheme="majorHAnsi"/>
        </w:rPr>
        <w:t>家，占可分红上市公司的数量比例为</w:t>
      </w:r>
      <w:r>
        <w:rPr>
          <w:rFonts w:ascii="宋体" w:hAnsi="宋体" w:eastAsia="宋体" w:cstheme="majorHAnsi"/>
        </w:rPr>
        <w:t>60.14%</w:t>
      </w:r>
      <w:r>
        <w:rPr>
          <w:rFonts w:hint="eastAsia" w:ascii="宋体" w:hAnsi="宋体" w:eastAsia="宋体" w:cstheme="majorHAnsi"/>
        </w:rPr>
        <w:t>、</w:t>
      </w:r>
      <w:r>
        <w:rPr>
          <w:rFonts w:ascii="宋体" w:hAnsi="宋体" w:eastAsia="宋体" w:cstheme="majorHAnsi"/>
        </w:rPr>
        <w:t>61.17%</w:t>
      </w:r>
      <w:r>
        <w:rPr>
          <w:rFonts w:hint="eastAsia" w:ascii="宋体" w:hAnsi="宋体" w:eastAsia="宋体" w:cstheme="majorHAnsi"/>
        </w:rPr>
        <w:t>。</w:t>
      </w:r>
      <w:r>
        <w:rPr>
          <w:rFonts w:ascii="宋体" w:hAnsi="宋体" w:eastAsia="宋体" w:cstheme="majorHAnsi"/>
        </w:rPr>
        <w:t>从地区来看，西北地区、西南地区、华南地区、华东地区、华北地区现金分总较去年同期均实现增长，其中西北地区同比增长48.61%、西南地区同比增长41.23%、华南地区同比增长8.77%、华东地区同比增长8.38%、华北地区同比增长1.77%，东北地区较去年同期下降64.02%。</w:t>
      </w:r>
    </w:p>
    <w:p>
      <w:pPr>
        <w:rPr>
          <w:rFonts w:ascii="宋体" w:hAnsi="宋体" w:eastAsia="宋体" w:cstheme="majorHAnsi"/>
        </w:rPr>
      </w:pPr>
      <w:r>
        <w:rPr>
          <w:rFonts w:ascii="宋体" w:hAnsi="宋体" w:eastAsia="宋体" w:cstheme="majorHAnsi"/>
        </w:rPr>
        <w:t>2023年上半年有4个地区现金分红总额超千亿元，依次为华东地区（</w:t>
      </w:r>
      <w:r>
        <w:rPr>
          <w:rFonts w:hint="eastAsia" w:ascii="宋体" w:hAnsi="宋体" w:eastAsia="宋体" w:cstheme="majorHAnsi"/>
        </w:rPr>
        <w:t>2</w:t>
      </w:r>
      <w:r>
        <w:rPr>
          <w:rFonts w:ascii="宋体" w:hAnsi="宋体" w:eastAsia="宋体" w:cstheme="majorHAnsi"/>
        </w:rPr>
        <w:t>,</w:t>
      </w:r>
      <w:r>
        <w:rPr>
          <w:rFonts w:hint="eastAsia" w:ascii="宋体" w:hAnsi="宋体" w:eastAsia="宋体" w:cstheme="majorHAnsi"/>
        </w:rPr>
        <w:t>996.47</w:t>
      </w:r>
      <w:r>
        <w:rPr>
          <w:rFonts w:ascii="宋体" w:hAnsi="宋体" w:eastAsia="宋体" w:cstheme="majorHAnsi"/>
        </w:rPr>
        <w:t>亿元）、华北地区（2,726.63亿元）、华南地区（1,622.09亿元）、西南地区（1,105.06亿元），其中华东</w:t>
      </w:r>
      <w:r>
        <w:rPr>
          <w:rFonts w:hint="eastAsia" w:ascii="宋体" w:hAnsi="宋体" w:eastAsia="宋体" w:cstheme="majorHAnsi"/>
        </w:rPr>
        <w:t>、华北</w:t>
      </w:r>
      <w:r>
        <w:rPr>
          <w:rFonts w:ascii="宋体" w:hAnsi="宋体" w:eastAsia="宋体" w:cstheme="majorHAnsi"/>
        </w:rPr>
        <w:t>地区</w:t>
      </w:r>
      <w:r>
        <w:rPr>
          <w:rFonts w:hint="eastAsia" w:ascii="宋体" w:hAnsi="宋体" w:eastAsia="宋体" w:cstheme="majorHAnsi"/>
        </w:rPr>
        <w:t>占全市场比例超3</w:t>
      </w:r>
      <w:r>
        <w:rPr>
          <w:rFonts w:ascii="宋体" w:hAnsi="宋体" w:eastAsia="宋体" w:cstheme="majorHAnsi"/>
        </w:rPr>
        <w:t>0%，</w:t>
      </w:r>
      <w:r>
        <w:rPr>
          <w:rFonts w:hint="eastAsia" w:ascii="宋体" w:hAnsi="宋体" w:eastAsia="宋体" w:cstheme="majorHAnsi"/>
        </w:rPr>
        <w:t>分别</w:t>
      </w:r>
      <w:r>
        <w:rPr>
          <w:rFonts w:ascii="宋体" w:hAnsi="宋体" w:eastAsia="宋体" w:cstheme="majorHAnsi"/>
        </w:rPr>
        <w:t>为33.71%</w:t>
      </w:r>
      <w:r>
        <w:rPr>
          <w:rFonts w:hint="eastAsia" w:ascii="宋体" w:hAnsi="宋体" w:eastAsia="宋体" w:cstheme="majorHAnsi"/>
        </w:rPr>
        <w:t>、3</w:t>
      </w:r>
      <w:r>
        <w:rPr>
          <w:rFonts w:ascii="宋体" w:hAnsi="宋体" w:eastAsia="宋体" w:cstheme="majorHAnsi"/>
        </w:rPr>
        <w:t>0.67%；平均现金分红超亿元的有5个地区，依次为华北地区（3.47亿元）、西南地区（3.22亿元）、西北地区（1.79亿元）、华南地区（1.36亿元）、华北地区（1.20亿元）。其中11家上市公司上半年现金分红超百亿元，前五依次为中国移动（423.06亿元）、中国石油（402.65亿元）、贵州茅台（325.49亿元）、兴业银行（246.80亿元）、中国石化（233.80亿元）。</w:t>
      </w:r>
    </w:p>
    <w:p>
      <w:pPr>
        <w:pStyle w:val="7"/>
        <w:rPr>
          <w:rFonts w:ascii="宋体" w:hAnsi="宋体"/>
          <w:color w:val="333333"/>
          <w:szCs w:val="21"/>
        </w:rPr>
      </w:pPr>
      <w:r>
        <w:rPr>
          <w:rFonts w:ascii="宋体" w:hAnsi="宋体"/>
        </w:rPr>
        <w:t xml:space="preserve">表 </w:t>
      </w:r>
      <w:r>
        <w:rPr>
          <w:rFonts w:ascii="宋体" w:hAnsi="宋体"/>
        </w:rPr>
        <w:fldChar w:fldCharType="begin"/>
      </w:r>
      <w:r>
        <w:rPr>
          <w:rFonts w:ascii="宋体" w:hAnsi="宋体"/>
        </w:rPr>
        <w:instrText xml:space="preserve"> SEQ 表 \* ARABIC </w:instrText>
      </w:r>
      <w:r>
        <w:rPr>
          <w:rFonts w:ascii="宋体" w:hAnsi="宋体"/>
        </w:rPr>
        <w:fldChar w:fldCharType="separate"/>
      </w:r>
      <w:r>
        <w:rPr>
          <w:rFonts w:ascii="宋体" w:hAnsi="宋体"/>
        </w:rPr>
        <w:t>6</w:t>
      </w:r>
      <w:r>
        <w:rPr>
          <w:rFonts w:ascii="宋体" w:hAnsi="宋体"/>
        </w:rPr>
        <w:fldChar w:fldCharType="end"/>
      </w:r>
      <w:r>
        <w:rPr>
          <w:rFonts w:ascii="宋体" w:hAnsi="宋体"/>
        </w:rPr>
        <w:t xml:space="preserve"> 2023年各地区上市公司地区表现情况</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874"/>
        <w:gridCol w:w="876"/>
        <w:gridCol w:w="876"/>
        <w:gridCol w:w="874"/>
        <w:gridCol w:w="876"/>
        <w:gridCol w:w="876"/>
        <w:gridCol w:w="874"/>
        <w:gridCol w:w="876"/>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80" w:type="pct"/>
            <w:shd w:val="clear" w:color="auto" w:fill="E7E6E6" w:themeFill="background2"/>
            <w:noWrap/>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地区</w:t>
            </w:r>
          </w:p>
        </w:tc>
        <w:tc>
          <w:tcPr>
            <w:tcW w:w="513" w:type="pct"/>
            <w:shd w:val="clear" w:color="auto" w:fill="E7E6E6" w:themeFill="background2"/>
            <w:noWrap/>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2022半年报——现金分红</w:t>
            </w:r>
          </w:p>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（亿元）</w:t>
            </w:r>
          </w:p>
        </w:tc>
        <w:tc>
          <w:tcPr>
            <w:tcW w:w="514" w:type="pct"/>
            <w:shd w:val="clear" w:color="auto" w:fill="E7E6E6" w:themeFill="background2"/>
            <w:noWrap/>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2023半年报——现金分红</w:t>
            </w:r>
          </w:p>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（亿元）</w:t>
            </w:r>
          </w:p>
        </w:tc>
        <w:tc>
          <w:tcPr>
            <w:tcW w:w="514" w:type="pc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hint="eastAsia" w:ascii="宋体" w:hAnsi="宋体" w:eastAsia="宋体" w:cstheme="majorHAnsi"/>
                <w:b/>
                <w:bCs/>
                <w:color w:val="000000"/>
                <w:kern w:val="0"/>
                <w:sz w:val="18"/>
                <w:szCs w:val="18"/>
                <w:lang w:bidi="ar"/>
              </w:rPr>
              <w:t>2</w:t>
            </w:r>
            <w:r>
              <w:rPr>
                <w:rFonts w:ascii="宋体" w:hAnsi="宋体" w:eastAsia="宋体" w:cstheme="majorHAnsi"/>
                <w:b/>
                <w:bCs/>
                <w:color w:val="000000"/>
                <w:kern w:val="0"/>
                <w:sz w:val="18"/>
                <w:szCs w:val="18"/>
                <w:lang w:bidi="ar"/>
              </w:rPr>
              <w:t>023</w:t>
            </w:r>
            <w:r>
              <w:rPr>
                <w:rFonts w:hint="eastAsia" w:ascii="宋体" w:hAnsi="宋体" w:eastAsia="宋体" w:cstheme="majorHAnsi"/>
                <w:b/>
                <w:bCs/>
                <w:color w:val="000000"/>
                <w:kern w:val="0"/>
                <w:sz w:val="18"/>
                <w:szCs w:val="18"/>
                <w:lang w:bidi="ar"/>
              </w:rPr>
              <w:t>年半年报现金分红占比</w:t>
            </w:r>
          </w:p>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w:t>
            </w:r>
          </w:p>
        </w:tc>
        <w:tc>
          <w:tcPr>
            <w:tcW w:w="513" w:type="pc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现金分红同比变化</w:t>
            </w:r>
          </w:p>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w:t>
            </w:r>
          </w:p>
        </w:tc>
        <w:tc>
          <w:tcPr>
            <w:tcW w:w="514" w:type="pct"/>
            <w:shd w:val="clear" w:color="auto" w:fill="E7E6E6" w:themeFill="background2"/>
            <w:noWrap/>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2023半年度平均现金分红（亿元）</w:t>
            </w:r>
          </w:p>
        </w:tc>
        <w:tc>
          <w:tcPr>
            <w:tcW w:w="514" w:type="pc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上市公司数量</w:t>
            </w:r>
          </w:p>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（家）</w:t>
            </w:r>
          </w:p>
        </w:tc>
        <w:tc>
          <w:tcPr>
            <w:tcW w:w="513" w:type="pc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hint="eastAsia" w:ascii="宋体" w:hAnsi="宋体" w:eastAsia="宋体" w:cstheme="majorHAnsi"/>
                <w:b/>
                <w:bCs/>
                <w:color w:val="000000"/>
                <w:kern w:val="0"/>
                <w:sz w:val="18"/>
                <w:szCs w:val="18"/>
                <w:lang w:bidi="ar"/>
              </w:rPr>
              <w:t>分红上市公司数量（家）</w:t>
            </w:r>
          </w:p>
        </w:tc>
        <w:tc>
          <w:tcPr>
            <w:tcW w:w="514" w:type="pc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hint="eastAsia" w:ascii="宋体" w:hAnsi="宋体" w:eastAsia="宋体" w:cstheme="majorHAnsi"/>
                <w:b/>
                <w:bCs/>
                <w:color w:val="000000"/>
                <w:kern w:val="0"/>
                <w:sz w:val="18"/>
                <w:szCs w:val="18"/>
                <w:lang w:bidi="ar"/>
              </w:rPr>
              <w:t>占所有上市公司数量比例</w:t>
            </w:r>
          </w:p>
        </w:tc>
        <w:tc>
          <w:tcPr>
            <w:tcW w:w="511" w:type="pct"/>
            <w:shd w:val="clear" w:color="auto" w:fill="E7E6E6" w:themeFill="background2"/>
            <w:vAlign w:val="center"/>
          </w:tcPr>
          <w:p>
            <w:pPr>
              <w:widowControl/>
              <w:spacing w:line="240" w:lineRule="auto"/>
              <w:ind w:firstLine="0" w:firstLineChars="0"/>
              <w:jc w:val="center"/>
              <w:textAlignment w:val="center"/>
              <w:rPr>
                <w:rFonts w:ascii="宋体" w:hAnsi="宋体" w:eastAsia="宋体" w:cstheme="majorHAnsi"/>
                <w:b/>
                <w:bCs/>
                <w:color w:val="000000"/>
                <w:kern w:val="0"/>
                <w:sz w:val="18"/>
                <w:szCs w:val="18"/>
                <w:lang w:bidi="ar"/>
              </w:rPr>
            </w:pPr>
            <w:r>
              <w:rPr>
                <w:rFonts w:hint="eastAsia" w:ascii="宋体" w:hAnsi="宋体" w:eastAsia="宋体" w:cstheme="majorHAnsi"/>
                <w:b/>
                <w:bCs/>
                <w:color w:val="000000"/>
                <w:kern w:val="0"/>
                <w:sz w:val="18"/>
                <w:szCs w:val="18"/>
                <w:lang w:bidi="ar"/>
              </w:rPr>
              <w:t>占可分红上市公司数量比例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80" w:type="pct"/>
            <w:shd w:val="clear" w:color="auto" w:fill="auto"/>
            <w:noWrap/>
            <w:vAlign w:val="center"/>
          </w:tcPr>
          <w:p>
            <w:pPr>
              <w:widowControl/>
              <w:spacing w:line="240" w:lineRule="auto"/>
              <w:ind w:firstLine="0" w:firstLineChars="0"/>
              <w:jc w:val="center"/>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华东地区</w:t>
            </w:r>
          </w:p>
        </w:tc>
        <w:tc>
          <w:tcPr>
            <w:tcW w:w="513"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2764.84</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sz w:val="18"/>
                <w:szCs w:val="18"/>
              </w:rPr>
            </w:pPr>
            <w:r>
              <w:rPr>
                <w:rFonts w:ascii="宋体" w:hAnsi="宋体" w:eastAsia="宋体" w:cstheme="majorHAnsi"/>
                <w:kern w:val="0"/>
                <w:sz w:val="18"/>
                <w:szCs w:val="18"/>
                <w:lang w:bidi="ar"/>
              </w:rPr>
              <w:t>2996.47</w:t>
            </w:r>
          </w:p>
        </w:tc>
        <w:tc>
          <w:tcPr>
            <w:tcW w:w="514"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kern w:val="0"/>
                <w:sz w:val="18"/>
                <w:szCs w:val="18"/>
                <w:lang w:bidi="ar"/>
              </w:rPr>
              <w:t>33.71%</w:t>
            </w:r>
          </w:p>
        </w:tc>
        <w:tc>
          <w:tcPr>
            <w:tcW w:w="513"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sz w:val="18"/>
                <w:szCs w:val="18"/>
              </w:rPr>
              <w:t>8.38%</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1.20</w:t>
            </w:r>
          </w:p>
        </w:tc>
        <w:tc>
          <w:tcPr>
            <w:tcW w:w="514"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2501</w:t>
            </w:r>
          </w:p>
        </w:tc>
        <w:tc>
          <w:tcPr>
            <w:tcW w:w="513"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1337</w:t>
            </w:r>
          </w:p>
        </w:tc>
        <w:tc>
          <w:tcPr>
            <w:tcW w:w="514"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53.46%</w:t>
            </w:r>
          </w:p>
        </w:tc>
        <w:tc>
          <w:tcPr>
            <w:tcW w:w="511"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60.14%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80" w:type="pct"/>
            <w:shd w:val="clear" w:color="auto" w:fill="auto"/>
            <w:noWrap/>
            <w:vAlign w:val="center"/>
          </w:tcPr>
          <w:p>
            <w:pPr>
              <w:widowControl/>
              <w:spacing w:line="240" w:lineRule="auto"/>
              <w:ind w:firstLine="0" w:firstLineChars="0"/>
              <w:jc w:val="center"/>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华北地区</w:t>
            </w:r>
          </w:p>
        </w:tc>
        <w:tc>
          <w:tcPr>
            <w:tcW w:w="513"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2679.14</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sz w:val="18"/>
                <w:szCs w:val="18"/>
              </w:rPr>
            </w:pPr>
            <w:r>
              <w:rPr>
                <w:rFonts w:ascii="宋体" w:hAnsi="宋体" w:eastAsia="宋体" w:cstheme="majorHAnsi"/>
                <w:kern w:val="0"/>
                <w:sz w:val="18"/>
                <w:szCs w:val="18"/>
                <w:lang w:bidi="ar"/>
              </w:rPr>
              <w:t>2726.63</w:t>
            </w:r>
          </w:p>
        </w:tc>
        <w:tc>
          <w:tcPr>
            <w:tcW w:w="514"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kern w:val="0"/>
                <w:sz w:val="18"/>
                <w:szCs w:val="18"/>
                <w:lang w:bidi="ar"/>
              </w:rPr>
              <w:t>30.67%</w:t>
            </w:r>
          </w:p>
        </w:tc>
        <w:tc>
          <w:tcPr>
            <w:tcW w:w="513"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sz w:val="18"/>
                <w:szCs w:val="18"/>
              </w:rPr>
              <w:t>1.77%</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3.47</w:t>
            </w:r>
          </w:p>
        </w:tc>
        <w:tc>
          <w:tcPr>
            <w:tcW w:w="514"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786</w:t>
            </w:r>
          </w:p>
        </w:tc>
        <w:tc>
          <w:tcPr>
            <w:tcW w:w="513"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332</w:t>
            </w:r>
          </w:p>
        </w:tc>
        <w:tc>
          <w:tcPr>
            <w:tcW w:w="514"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42.24%</w:t>
            </w:r>
          </w:p>
        </w:tc>
        <w:tc>
          <w:tcPr>
            <w:tcW w:w="511"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51.39%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80" w:type="pct"/>
            <w:shd w:val="clear" w:color="auto" w:fill="auto"/>
            <w:noWrap/>
            <w:vAlign w:val="center"/>
          </w:tcPr>
          <w:p>
            <w:pPr>
              <w:widowControl/>
              <w:spacing w:line="240" w:lineRule="auto"/>
              <w:ind w:firstLine="0" w:firstLineChars="0"/>
              <w:jc w:val="center"/>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华南地区</w:t>
            </w:r>
          </w:p>
        </w:tc>
        <w:tc>
          <w:tcPr>
            <w:tcW w:w="513"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1491.25</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sz w:val="18"/>
                <w:szCs w:val="18"/>
              </w:rPr>
            </w:pPr>
            <w:r>
              <w:rPr>
                <w:rFonts w:ascii="宋体" w:hAnsi="宋体" w:eastAsia="宋体" w:cstheme="majorHAnsi"/>
                <w:kern w:val="0"/>
                <w:sz w:val="18"/>
                <w:szCs w:val="18"/>
                <w:lang w:bidi="ar"/>
              </w:rPr>
              <w:t>1622.09</w:t>
            </w:r>
          </w:p>
        </w:tc>
        <w:tc>
          <w:tcPr>
            <w:tcW w:w="514"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kern w:val="0"/>
                <w:sz w:val="18"/>
                <w:szCs w:val="18"/>
                <w:lang w:bidi="ar"/>
              </w:rPr>
              <w:t>18.25%</w:t>
            </w:r>
          </w:p>
        </w:tc>
        <w:tc>
          <w:tcPr>
            <w:tcW w:w="513"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sz w:val="18"/>
                <w:szCs w:val="18"/>
              </w:rPr>
              <w:t>8.77%</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1.36</w:t>
            </w:r>
          </w:p>
        </w:tc>
        <w:tc>
          <w:tcPr>
            <w:tcW w:w="514"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1194</w:t>
            </w:r>
          </w:p>
        </w:tc>
        <w:tc>
          <w:tcPr>
            <w:tcW w:w="513"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594</w:t>
            </w:r>
          </w:p>
        </w:tc>
        <w:tc>
          <w:tcPr>
            <w:tcW w:w="514"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49.75%</w:t>
            </w:r>
          </w:p>
        </w:tc>
        <w:tc>
          <w:tcPr>
            <w:tcW w:w="511"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61.17%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80" w:type="pct"/>
            <w:shd w:val="clear" w:color="auto" w:fill="auto"/>
            <w:noWrap/>
            <w:vAlign w:val="center"/>
          </w:tcPr>
          <w:p>
            <w:pPr>
              <w:widowControl/>
              <w:spacing w:line="240" w:lineRule="auto"/>
              <w:ind w:firstLine="0" w:firstLineChars="0"/>
              <w:jc w:val="center"/>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西南地区</w:t>
            </w:r>
          </w:p>
        </w:tc>
        <w:tc>
          <w:tcPr>
            <w:tcW w:w="513"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782.44</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sz w:val="18"/>
                <w:szCs w:val="18"/>
              </w:rPr>
            </w:pPr>
            <w:r>
              <w:rPr>
                <w:rFonts w:ascii="宋体" w:hAnsi="宋体" w:eastAsia="宋体" w:cstheme="majorHAnsi"/>
                <w:kern w:val="0"/>
                <w:sz w:val="18"/>
                <w:szCs w:val="18"/>
                <w:lang w:bidi="ar"/>
              </w:rPr>
              <w:t>1105.06</w:t>
            </w:r>
          </w:p>
        </w:tc>
        <w:tc>
          <w:tcPr>
            <w:tcW w:w="514"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kern w:val="0"/>
                <w:sz w:val="18"/>
                <w:szCs w:val="18"/>
                <w:lang w:bidi="ar"/>
              </w:rPr>
              <w:t>12.43%</w:t>
            </w:r>
          </w:p>
        </w:tc>
        <w:tc>
          <w:tcPr>
            <w:tcW w:w="513"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sz w:val="18"/>
                <w:szCs w:val="18"/>
              </w:rPr>
              <w:t>41.23%</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3.22</w:t>
            </w:r>
          </w:p>
        </w:tc>
        <w:tc>
          <w:tcPr>
            <w:tcW w:w="514"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343</w:t>
            </w:r>
          </w:p>
        </w:tc>
        <w:tc>
          <w:tcPr>
            <w:tcW w:w="513"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164</w:t>
            </w:r>
          </w:p>
        </w:tc>
        <w:tc>
          <w:tcPr>
            <w:tcW w:w="514"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47.81%</w:t>
            </w:r>
          </w:p>
        </w:tc>
        <w:tc>
          <w:tcPr>
            <w:tcW w:w="511"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56.55%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80" w:type="pct"/>
            <w:shd w:val="clear" w:color="auto" w:fill="auto"/>
            <w:noWrap/>
            <w:vAlign w:val="center"/>
          </w:tcPr>
          <w:p>
            <w:pPr>
              <w:widowControl/>
              <w:spacing w:line="240" w:lineRule="auto"/>
              <w:ind w:firstLine="0" w:firstLineChars="0"/>
              <w:jc w:val="center"/>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西北地区</w:t>
            </w:r>
          </w:p>
        </w:tc>
        <w:tc>
          <w:tcPr>
            <w:tcW w:w="513"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238.76</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sz w:val="18"/>
                <w:szCs w:val="18"/>
              </w:rPr>
            </w:pPr>
            <w:r>
              <w:rPr>
                <w:rFonts w:ascii="宋体" w:hAnsi="宋体" w:eastAsia="宋体" w:cstheme="majorHAnsi"/>
                <w:kern w:val="0"/>
                <w:sz w:val="18"/>
                <w:szCs w:val="18"/>
                <w:lang w:bidi="ar"/>
              </w:rPr>
              <w:t>354.83</w:t>
            </w:r>
          </w:p>
        </w:tc>
        <w:tc>
          <w:tcPr>
            <w:tcW w:w="514"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kern w:val="0"/>
                <w:sz w:val="18"/>
                <w:szCs w:val="18"/>
                <w:lang w:bidi="ar"/>
              </w:rPr>
              <w:t>3.99%</w:t>
            </w:r>
          </w:p>
        </w:tc>
        <w:tc>
          <w:tcPr>
            <w:tcW w:w="513"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sz w:val="18"/>
                <w:szCs w:val="18"/>
              </w:rPr>
              <w:t>48.61%</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1.79</w:t>
            </w:r>
          </w:p>
        </w:tc>
        <w:tc>
          <w:tcPr>
            <w:tcW w:w="514"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198</w:t>
            </w:r>
          </w:p>
        </w:tc>
        <w:tc>
          <w:tcPr>
            <w:tcW w:w="513"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70</w:t>
            </w:r>
          </w:p>
        </w:tc>
        <w:tc>
          <w:tcPr>
            <w:tcW w:w="514"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35.35%</w:t>
            </w:r>
          </w:p>
        </w:tc>
        <w:tc>
          <w:tcPr>
            <w:tcW w:w="511" w:type="pct"/>
            <w:vAlign w:val="center"/>
          </w:tcPr>
          <w:p>
            <w:pPr>
              <w:widowControl/>
              <w:spacing w:line="240" w:lineRule="auto"/>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80" w:type="pct"/>
            <w:shd w:val="clear" w:color="auto" w:fill="auto"/>
            <w:noWrap/>
            <w:vAlign w:val="center"/>
          </w:tcPr>
          <w:p>
            <w:pPr>
              <w:widowControl/>
              <w:spacing w:line="240" w:lineRule="auto"/>
              <w:ind w:firstLine="0" w:firstLineChars="0"/>
              <w:jc w:val="center"/>
              <w:textAlignment w:val="center"/>
              <w:rPr>
                <w:rFonts w:ascii="宋体" w:hAnsi="宋体" w:eastAsia="宋体" w:cstheme="majorHAnsi"/>
                <w:sz w:val="18"/>
                <w:szCs w:val="18"/>
              </w:rPr>
            </w:pPr>
            <w:r>
              <w:rPr>
                <w:rFonts w:ascii="宋体" w:hAnsi="宋体" w:eastAsia="宋体" w:cstheme="majorHAnsi"/>
                <w:kern w:val="0"/>
                <w:sz w:val="18"/>
                <w:szCs w:val="18"/>
                <w:lang w:bidi="ar"/>
              </w:rPr>
              <w:t>东北地区</w:t>
            </w:r>
          </w:p>
        </w:tc>
        <w:tc>
          <w:tcPr>
            <w:tcW w:w="513"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sz w:val="18"/>
                <w:szCs w:val="18"/>
              </w:rPr>
            </w:pPr>
            <w:r>
              <w:rPr>
                <w:rFonts w:ascii="宋体" w:hAnsi="宋体" w:eastAsia="宋体" w:cstheme="majorHAnsi"/>
                <w:kern w:val="0"/>
                <w:sz w:val="18"/>
                <w:szCs w:val="18"/>
                <w:lang w:bidi="ar"/>
              </w:rPr>
              <w:t>235.44</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sz w:val="18"/>
                <w:szCs w:val="18"/>
              </w:rPr>
            </w:pPr>
            <w:r>
              <w:rPr>
                <w:rFonts w:ascii="宋体" w:hAnsi="宋体" w:eastAsia="宋体" w:cstheme="majorHAnsi"/>
                <w:kern w:val="0"/>
                <w:sz w:val="18"/>
                <w:szCs w:val="18"/>
                <w:lang w:bidi="ar"/>
              </w:rPr>
              <w:t>84.72</w:t>
            </w:r>
          </w:p>
        </w:tc>
        <w:tc>
          <w:tcPr>
            <w:tcW w:w="514"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kern w:val="0"/>
                <w:sz w:val="18"/>
                <w:szCs w:val="18"/>
                <w:lang w:bidi="ar"/>
              </w:rPr>
              <w:t>0.95%</w:t>
            </w:r>
          </w:p>
        </w:tc>
        <w:tc>
          <w:tcPr>
            <w:tcW w:w="513"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sz w:val="18"/>
                <w:szCs w:val="18"/>
              </w:rPr>
              <w:t>-64.02%</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kern w:val="0"/>
                <w:sz w:val="18"/>
                <w:szCs w:val="18"/>
                <w:lang w:bidi="ar"/>
              </w:rPr>
              <w:t>0.49</w:t>
            </w:r>
          </w:p>
        </w:tc>
        <w:tc>
          <w:tcPr>
            <w:tcW w:w="514"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kern w:val="0"/>
                <w:sz w:val="18"/>
                <w:szCs w:val="18"/>
                <w:lang w:bidi="ar"/>
              </w:rPr>
              <w:t>173</w:t>
            </w:r>
          </w:p>
        </w:tc>
        <w:tc>
          <w:tcPr>
            <w:tcW w:w="513"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kern w:val="0"/>
                <w:sz w:val="18"/>
                <w:szCs w:val="18"/>
                <w:lang w:bidi="ar"/>
              </w:rPr>
              <w:t>59</w:t>
            </w:r>
          </w:p>
        </w:tc>
        <w:tc>
          <w:tcPr>
            <w:tcW w:w="514"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kern w:val="0"/>
                <w:sz w:val="18"/>
                <w:szCs w:val="18"/>
                <w:lang w:bidi="ar"/>
              </w:rPr>
              <w:t>34.10%</w:t>
            </w:r>
          </w:p>
        </w:tc>
        <w:tc>
          <w:tcPr>
            <w:tcW w:w="511" w:type="pct"/>
            <w:vAlign w:val="center"/>
          </w:tcPr>
          <w:p>
            <w:pPr>
              <w:widowControl/>
              <w:spacing w:line="240" w:lineRule="auto"/>
              <w:ind w:firstLine="0" w:firstLineChars="0"/>
              <w:jc w:val="right"/>
              <w:textAlignment w:val="center"/>
              <w:rPr>
                <w:rFonts w:ascii="宋体" w:hAnsi="宋体" w:eastAsia="宋体" w:cstheme="majorHAnsi"/>
                <w:kern w:val="0"/>
                <w:sz w:val="18"/>
                <w:szCs w:val="18"/>
                <w:lang w:bidi="ar"/>
              </w:rPr>
            </w:pPr>
            <w:r>
              <w:rPr>
                <w:rFonts w:ascii="宋体" w:hAnsi="宋体" w:eastAsia="宋体" w:cstheme="majorHAnsi"/>
                <w:kern w:val="0"/>
                <w:sz w:val="18"/>
                <w:szCs w:val="18"/>
                <w:lang w:bidi="ar"/>
              </w:rPr>
              <w:t>47.20%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80" w:type="pct"/>
            <w:shd w:val="clear" w:color="auto" w:fill="auto"/>
            <w:noWrap/>
            <w:vAlign w:val="center"/>
          </w:tcPr>
          <w:p>
            <w:pPr>
              <w:widowControl/>
              <w:spacing w:line="240" w:lineRule="auto"/>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总计</w:t>
            </w:r>
          </w:p>
        </w:tc>
        <w:tc>
          <w:tcPr>
            <w:tcW w:w="513"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8191.88</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b/>
                <w:bCs/>
                <w:sz w:val="18"/>
                <w:szCs w:val="18"/>
              </w:rPr>
            </w:pPr>
            <w:r>
              <w:rPr>
                <w:rFonts w:ascii="宋体" w:hAnsi="宋体" w:eastAsia="宋体" w:cstheme="majorHAnsi"/>
                <w:b/>
                <w:bCs/>
                <w:kern w:val="0"/>
                <w:sz w:val="18"/>
                <w:szCs w:val="18"/>
                <w:lang w:bidi="ar"/>
              </w:rPr>
              <w:t>8889.80</w:t>
            </w:r>
          </w:p>
        </w:tc>
        <w:tc>
          <w:tcPr>
            <w:tcW w:w="514" w:type="pct"/>
            <w:vAlign w:val="center"/>
          </w:tcPr>
          <w:p>
            <w:pPr>
              <w:widowControl/>
              <w:spacing w:line="240" w:lineRule="auto"/>
              <w:ind w:firstLine="0" w:firstLineChars="0"/>
              <w:jc w:val="right"/>
              <w:textAlignment w:val="center"/>
              <w:rPr>
                <w:rFonts w:ascii="宋体" w:hAnsi="宋体" w:eastAsia="宋体" w:cstheme="majorHAnsi"/>
                <w:b/>
                <w:bCs/>
                <w:kern w:val="0"/>
                <w:sz w:val="18"/>
                <w:szCs w:val="18"/>
                <w:lang w:bidi="ar"/>
              </w:rPr>
            </w:pPr>
            <w:r>
              <w:rPr>
                <w:rFonts w:ascii="宋体" w:hAnsi="宋体" w:eastAsia="宋体" w:cstheme="majorHAnsi"/>
                <w:b/>
                <w:bCs/>
                <w:kern w:val="0"/>
                <w:sz w:val="18"/>
                <w:szCs w:val="18"/>
                <w:lang w:bidi="ar"/>
              </w:rPr>
              <w:t>100.00%</w:t>
            </w:r>
          </w:p>
        </w:tc>
        <w:tc>
          <w:tcPr>
            <w:tcW w:w="513" w:type="pct"/>
            <w:vAlign w:val="center"/>
          </w:tcPr>
          <w:p>
            <w:pPr>
              <w:widowControl/>
              <w:spacing w:line="240" w:lineRule="auto"/>
              <w:ind w:firstLine="0" w:firstLineChars="0"/>
              <w:jc w:val="right"/>
              <w:textAlignment w:val="center"/>
              <w:rPr>
                <w:rFonts w:ascii="宋体" w:hAnsi="宋体" w:eastAsia="宋体" w:cstheme="majorHAnsi"/>
                <w:b/>
                <w:bCs/>
                <w:kern w:val="0"/>
                <w:sz w:val="18"/>
                <w:szCs w:val="18"/>
                <w:lang w:bidi="ar"/>
              </w:rPr>
            </w:pPr>
            <w:r>
              <w:rPr>
                <w:rFonts w:ascii="宋体" w:hAnsi="宋体" w:eastAsia="宋体" w:cstheme="majorHAnsi"/>
                <w:b/>
                <w:bCs/>
                <w:sz w:val="18"/>
                <w:szCs w:val="18"/>
              </w:rPr>
              <w:t>8.52%</w:t>
            </w:r>
          </w:p>
        </w:tc>
        <w:tc>
          <w:tcPr>
            <w:tcW w:w="514" w:type="pct"/>
            <w:shd w:val="clear" w:color="auto" w:fill="auto"/>
            <w:noWrap/>
            <w:vAlign w:val="center"/>
          </w:tcPr>
          <w:p>
            <w:pPr>
              <w:widowControl/>
              <w:spacing w:line="240" w:lineRule="auto"/>
              <w:ind w:firstLine="0" w:firstLineChars="0"/>
              <w:jc w:val="right"/>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1.71</w:t>
            </w:r>
          </w:p>
        </w:tc>
        <w:tc>
          <w:tcPr>
            <w:tcW w:w="514" w:type="pct"/>
            <w:vAlign w:val="center"/>
          </w:tcPr>
          <w:p>
            <w:pPr>
              <w:widowControl/>
              <w:spacing w:line="240" w:lineRule="auto"/>
              <w:ind w:firstLine="0" w:firstLineChars="0"/>
              <w:jc w:val="right"/>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5195</w:t>
            </w:r>
          </w:p>
        </w:tc>
        <w:tc>
          <w:tcPr>
            <w:tcW w:w="513" w:type="pct"/>
            <w:vAlign w:val="center"/>
          </w:tcPr>
          <w:p>
            <w:pPr>
              <w:widowControl/>
              <w:spacing w:line="240" w:lineRule="auto"/>
              <w:ind w:firstLine="0" w:firstLineChars="0"/>
              <w:jc w:val="right"/>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2556</w:t>
            </w:r>
          </w:p>
        </w:tc>
        <w:tc>
          <w:tcPr>
            <w:tcW w:w="514" w:type="pct"/>
          </w:tcPr>
          <w:p>
            <w:pPr>
              <w:widowControl/>
              <w:spacing w:line="240" w:lineRule="auto"/>
              <w:ind w:firstLine="0" w:firstLineChars="0"/>
              <w:jc w:val="right"/>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49.20%</w:t>
            </w:r>
          </w:p>
        </w:tc>
        <w:tc>
          <w:tcPr>
            <w:tcW w:w="511" w:type="pct"/>
          </w:tcPr>
          <w:p>
            <w:pPr>
              <w:widowControl/>
              <w:spacing w:line="240" w:lineRule="auto"/>
              <w:ind w:firstLine="0" w:firstLineChars="0"/>
              <w:jc w:val="right"/>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58.01%</w:t>
            </w:r>
          </w:p>
        </w:tc>
      </w:tr>
    </w:tbl>
    <w:p>
      <w:pPr>
        <w:pStyle w:val="44"/>
        <w:rPr>
          <w:rFonts w:ascii="宋体" w:hAnsi="宋体"/>
        </w:rPr>
      </w:pPr>
      <w:r>
        <w:rPr>
          <w:rFonts w:ascii="宋体" w:hAnsi="宋体"/>
        </w:rPr>
        <w:t>数据来源：Choice、易董研究所整理</w:t>
      </w:r>
    </w:p>
    <w:p>
      <w:pPr>
        <w:pStyle w:val="44"/>
        <w:rPr>
          <w:rFonts w:ascii="宋体" w:hAnsi="宋体"/>
        </w:rPr>
      </w:pPr>
      <w:r>
        <w:rPr>
          <w:rFonts w:hint="eastAsia" w:ascii="宋体" w:hAnsi="宋体"/>
        </w:rPr>
        <w:t>注：其中可分红上市公司为2</w:t>
      </w:r>
      <w:r>
        <w:rPr>
          <w:rFonts w:ascii="宋体" w:hAnsi="宋体"/>
        </w:rPr>
        <w:t>023</w:t>
      </w:r>
      <w:r>
        <w:rPr>
          <w:rFonts w:hint="eastAsia" w:ascii="宋体" w:hAnsi="宋体"/>
        </w:rPr>
        <w:t>年半年报未分配利润为正数的上市公司</w:t>
      </w:r>
    </w:p>
    <w:bookmarkEnd w:id="172"/>
    <w:p>
      <w:pPr>
        <w:rPr>
          <w:rFonts w:ascii="宋体" w:hAnsi="宋体" w:eastAsia="宋体"/>
        </w:rPr>
      </w:pPr>
    </w:p>
    <w:bookmarkEnd w:id="171"/>
    <w:p>
      <w:pPr>
        <w:pStyle w:val="4"/>
      </w:pPr>
      <w:bookmarkStart w:id="173" w:name="_Toc147910638"/>
      <w:bookmarkEnd w:id="173"/>
      <w:bookmarkStart w:id="174" w:name="_Toc147675141"/>
      <w:bookmarkEnd w:id="174"/>
      <w:bookmarkStart w:id="175" w:name="_Toc147674870"/>
      <w:bookmarkEnd w:id="175"/>
      <w:bookmarkStart w:id="176" w:name="_Toc147910639"/>
      <w:bookmarkEnd w:id="176"/>
      <w:bookmarkStart w:id="177" w:name="_Toc147925176"/>
      <w:bookmarkEnd w:id="177"/>
      <w:bookmarkStart w:id="178" w:name="_Toc147910637"/>
      <w:bookmarkEnd w:id="178"/>
      <w:bookmarkStart w:id="179" w:name="_Toc147910636"/>
      <w:bookmarkEnd w:id="179"/>
      <w:bookmarkStart w:id="180" w:name="_Toc147925174"/>
      <w:bookmarkEnd w:id="180"/>
      <w:bookmarkStart w:id="181" w:name="_Toc147925175"/>
      <w:bookmarkEnd w:id="181"/>
      <w:bookmarkStart w:id="182" w:name="_Toc147674869"/>
      <w:bookmarkEnd w:id="182"/>
      <w:bookmarkStart w:id="183" w:name="_Toc147674871"/>
      <w:bookmarkEnd w:id="183"/>
      <w:bookmarkStart w:id="184" w:name="_Toc147925177"/>
      <w:bookmarkEnd w:id="184"/>
      <w:bookmarkStart w:id="185" w:name="_Toc148969282"/>
      <w:bookmarkStart w:id="186" w:name="_Toc147675142"/>
      <w:bookmarkStart w:id="187" w:name="_Toc146208960"/>
      <w:r>
        <w:t>国有控股公司继续发挥稳增长作用，</w:t>
      </w:r>
      <w:r>
        <w:rPr>
          <w:rFonts w:hint="eastAsia"/>
        </w:rPr>
        <w:t>引领发展新格局</w:t>
      </w:r>
      <w:bookmarkEnd w:id="185"/>
      <w:bookmarkEnd w:id="186"/>
    </w:p>
    <w:bookmarkEnd w:id="187"/>
    <w:p>
      <w:pPr>
        <w:rPr>
          <w:rFonts w:ascii="宋体" w:hAnsi="宋体" w:eastAsia="宋体"/>
        </w:rPr>
      </w:pPr>
      <w:r>
        <w:rPr>
          <w:rFonts w:hint="eastAsia" w:ascii="宋体" w:hAnsi="宋体" w:eastAsia="宋体"/>
        </w:rPr>
        <w:t>国有控股上市公司营业收入规模持续扩大，贡献全市场近7成营收，体现出在经济周期转换下企业稳定营收能力。</w:t>
      </w:r>
    </w:p>
    <w:p>
      <w:pPr>
        <w:rPr>
          <w:rFonts w:ascii="宋体" w:hAnsi="宋体" w:eastAsia="宋体"/>
        </w:rPr>
      </w:pPr>
      <w:r>
        <w:rPr>
          <w:rFonts w:hint="eastAsia" w:ascii="宋体" w:hAnsi="宋体" w:eastAsia="宋体"/>
        </w:rPr>
        <w:t>2023年上半年国有控股上市公司</w:t>
      </w:r>
      <w:r>
        <w:rPr>
          <w:rFonts w:ascii="宋体" w:hAnsi="宋体" w:eastAsia="宋体"/>
        </w:rPr>
        <w:t>有1376家，</w:t>
      </w:r>
      <w:r>
        <w:rPr>
          <w:rFonts w:hint="eastAsia" w:ascii="宋体" w:hAnsi="宋体" w:eastAsia="宋体"/>
        </w:rPr>
        <w:t>总市值规模达到</w:t>
      </w:r>
      <w:r>
        <w:rPr>
          <w:rFonts w:ascii="宋体" w:hAnsi="宋体" w:eastAsia="宋体"/>
        </w:rPr>
        <w:t>424774.32</w:t>
      </w:r>
      <w:r>
        <w:rPr>
          <w:rFonts w:hint="eastAsia" w:ascii="宋体" w:hAnsi="宋体" w:eastAsia="宋体"/>
        </w:rPr>
        <w:t>亿元，总营业收入为232,396.14亿元，同比上涨0.93%，净利润总额为20,048.38亿元，同比下降-2.74%，有近六成公司（59.2%、817家）营收规模扩张，近六成（57.5%，793家）净利润总额增长。同期，民营上市公司</w:t>
      </w:r>
      <w:r>
        <w:rPr>
          <w:rFonts w:ascii="宋体" w:hAnsi="宋体" w:eastAsia="宋体"/>
        </w:rPr>
        <w:t>有3291家，</w:t>
      </w:r>
      <w:r>
        <w:rPr>
          <w:rFonts w:hint="eastAsia" w:ascii="宋体" w:hAnsi="宋体" w:eastAsia="宋体"/>
        </w:rPr>
        <w:t>总市值规模达到326037.29亿元，总营业收入为81,294.12亿元，同比上涨</w:t>
      </w:r>
      <w:r>
        <w:rPr>
          <w:rFonts w:hint="eastAsia" w:ascii="宋体" w:hAnsi="宋体" w:eastAsia="宋体" w:cs="微软雅黑"/>
          <w:szCs w:val="21"/>
        </w:rPr>
        <w:t>7.27%</w:t>
      </w:r>
      <w:r>
        <w:rPr>
          <w:rFonts w:hint="eastAsia" w:ascii="宋体" w:hAnsi="宋体" w:eastAsia="宋体"/>
        </w:rPr>
        <w:t>，净利润总额为4</w:t>
      </w:r>
      <w:r>
        <w:rPr>
          <w:rFonts w:ascii="宋体" w:hAnsi="宋体" w:eastAsia="宋体"/>
        </w:rPr>
        <w:t>,</w:t>
      </w:r>
      <w:r>
        <w:rPr>
          <w:rFonts w:hint="eastAsia" w:ascii="宋体" w:hAnsi="宋体" w:eastAsia="宋体"/>
        </w:rPr>
        <w:t>904.15亿元，同比下降</w:t>
      </w:r>
      <w:r>
        <w:rPr>
          <w:rFonts w:ascii="宋体" w:hAnsi="宋体"/>
        </w:rPr>
        <w:t>11.33%</w:t>
      </w:r>
      <w:r>
        <w:rPr>
          <w:rFonts w:hint="eastAsia" w:ascii="宋体" w:hAnsi="宋体" w:eastAsia="宋体"/>
        </w:rPr>
        <w:t>。</w:t>
      </w:r>
    </w:p>
    <w:p>
      <w:pPr>
        <w:rPr>
          <w:rFonts w:ascii="宋体" w:hAnsi="宋体" w:eastAsia="宋体"/>
        </w:rPr>
      </w:pPr>
      <w:r>
        <w:rPr>
          <w:rFonts w:hint="eastAsia" w:ascii="宋体" w:hAnsi="宋体" w:eastAsia="宋体"/>
        </w:rPr>
        <w:t>民营上市公司有近六成（57.8%，1</w:t>
      </w:r>
      <w:r>
        <w:rPr>
          <w:rFonts w:ascii="宋体" w:hAnsi="宋体" w:eastAsia="宋体"/>
        </w:rPr>
        <w:t>,</w:t>
      </w:r>
      <w:r>
        <w:rPr>
          <w:rFonts w:hint="eastAsia" w:ascii="宋体" w:hAnsi="宋体" w:eastAsia="宋体"/>
        </w:rPr>
        <w:t>903家）公司营业规模扩张，有逾五成（50.6%，1</w:t>
      </w:r>
      <w:r>
        <w:rPr>
          <w:rFonts w:ascii="宋体" w:hAnsi="宋体" w:eastAsia="宋体"/>
        </w:rPr>
        <w:t>,</w:t>
      </w:r>
      <w:r>
        <w:rPr>
          <w:rFonts w:hint="eastAsia" w:ascii="宋体" w:hAnsi="宋体" w:eastAsia="宋体"/>
        </w:rPr>
        <w:t>668家）公司净利润总额上升。</w:t>
      </w:r>
      <w:r>
        <w:rPr>
          <w:rFonts w:hint="eastAsia" w:ascii="宋体" w:hAnsi="宋体"/>
          <w:b/>
        </w:rPr>
        <w:t>从以上数据来看，国企</w:t>
      </w:r>
      <w:r>
        <w:rPr>
          <w:rFonts w:ascii="宋体" w:hAnsi="宋体"/>
          <w:b/>
        </w:rPr>
        <w:t>数量占比为26.49%，</w:t>
      </w:r>
      <w:r>
        <w:rPr>
          <w:rFonts w:ascii="宋体" w:hAnsi="宋体" w:eastAsia="宋体"/>
          <w:b/>
          <w:bCs/>
        </w:rPr>
        <w:t>不</w:t>
      </w:r>
      <w:r>
        <w:rPr>
          <w:rFonts w:hint="eastAsia" w:ascii="宋体" w:hAnsi="宋体" w:eastAsia="宋体"/>
          <w:b/>
          <w:bCs/>
        </w:rPr>
        <w:t>到</w:t>
      </w:r>
      <w:r>
        <w:rPr>
          <w:rFonts w:ascii="宋体" w:hAnsi="宋体"/>
          <w:b/>
        </w:rPr>
        <w:t>三成，但贡献了65.</w:t>
      </w:r>
      <w:r>
        <w:rPr>
          <w:rFonts w:ascii="宋体" w:hAnsi="宋体" w:eastAsia="宋体"/>
          <w:b/>
          <w:bCs/>
        </w:rPr>
        <w:t>89</w:t>
      </w:r>
      <w:r>
        <w:rPr>
          <w:rFonts w:ascii="宋体" w:hAnsi="宋体"/>
          <w:b/>
        </w:rPr>
        <w:t>%的营业收入，68.04%</w:t>
      </w:r>
      <w:r>
        <w:rPr>
          <w:rFonts w:hint="eastAsia" w:ascii="宋体" w:hAnsi="宋体"/>
          <w:b/>
        </w:rPr>
        <w:t>的净利润，</w:t>
      </w:r>
      <w:r>
        <w:rPr>
          <w:rFonts w:hint="eastAsia" w:ascii="宋体" w:hAnsi="宋体" w:eastAsia="宋体"/>
        </w:rPr>
        <w:t>而</w:t>
      </w:r>
      <w:r>
        <w:rPr>
          <w:rFonts w:ascii="宋体" w:hAnsi="宋体" w:eastAsia="宋体"/>
        </w:rPr>
        <w:t>民企数量占比为63.35%，</w:t>
      </w:r>
      <w:r>
        <w:rPr>
          <w:rFonts w:hint="eastAsia" w:ascii="宋体" w:hAnsi="宋体" w:eastAsia="宋体"/>
        </w:rPr>
        <w:t>超过六成，</w:t>
      </w:r>
      <w:r>
        <w:rPr>
          <w:rFonts w:ascii="宋体" w:hAnsi="宋体" w:eastAsia="宋体"/>
        </w:rPr>
        <w:t>仅贡献了23.05%的营业收入，16.64%</w:t>
      </w:r>
      <w:r>
        <w:rPr>
          <w:rFonts w:hint="eastAsia" w:ascii="宋体" w:hAnsi="宋体" w:eastAsia="宋体"/>
        </w:rPr>
        <w:t>的净利润。</w:t>
      </w:r>
      <w:r>
        <w:rPr>
          <w:rFonts w:ascii="宋体" w:hAnsi="宋体" w:eastAsia="宋体"/>
        </w:rPr>
        <w:t>国企</w:t>
      </w:r>
      <w:r>
        <w:rPr>
          <w:rFonts w:hint="eastAsia" w:ascii="宋体" w:hAnsi="宋体" w:eastAsia="宋体"/>
        </w:rPr>
        <w:t>相比民企在整体营收能力和规模上都更具优势</w:t>
      </w:r>
      <w:r>
        <w:rPr>
          <w:rFonts w:ascii="宋体" w:hAnsi="宋体" w:eastAsia="宋体"/>
        </w:rPr>
        <w:t>，继续发挥推动国民经济增长的“顶梁柱”作用</w:t>
      </w:r>
      <w:r>
        <w:rPr>
          <w:rFonts w:hint="eastAsia" w:ascii="宋体" w:hAnsi="宋体" w:eastAsia="宋体"/>
        </w:rPr>
        <w:t>。</w:t>
      </w:r>
    </w:p>
    <w:p>
      <w:pPr>
        <w:pStyle w:val="7"/>
        <w:rPr>
          <w:rFonts w:ascii="宋体" w:hAnsi="宋体"/>
        </w:rPr>
      </w:pPr>
      <w:r>
        <w:rPr>
          <w:rFonts w:ascii="宋体" w:hAnsi="宋体"/>
        </w:rPr>
        <w:t xml:space="preserve">表 </w:t>
      </w:r>
      <w:r>
        <w:rPr>
          <w:rFonts w:ascii="宋体" w:hAnsi="宋体"/>
        </w:rPr>
        <w:fldChar w:fldCharType="begin"/>
      </w:r>
      <w:r>
        <w:rPr>
          <w:rFonts w:ascii="宋体" w:hAnsi="宋体"/>
        </w:rPr>
        <w:instrText xml:space="preserve"> SEQ 表 \* ARABIC </w:instrText>
      </w:r>
      <w:r>
        <w:rPr>
          <w:rFonts w:ascii="宋体" w:hAnsi="宋体"/>
        </w:rPr>
        <w:fldChar w:fldCharType="separate"/>
      </w:r>
      <w:r>
        <w:rPr>
          <w:rFonts w:ascii="宋体" w:hAnsi="宋体"/>
        </w:rPr>
        <w:t>7</w:t>
      </w:r>
      <w:r>
        <w:rPr>
          <w:rFonts w:ascii="宋体" w:hAnsi="宋体"/>
        </w:rPr>
        <w:fldChar w:fldCharType="end"/>
      </w:r>
      <w:r>
        <w:rPr>
          <w:rFonts w:ascii="宋体" w:hAnsi="宋体"/>
        </w:rPr>
        <w:t xml:space="preserve"> 2023年上半年</w:t>
      </w:r>
      <w:r>
        <w:rPr>
          <w:rFonts w:hint="eastAsia" w:ascii="宋体" w:hAnsi="宋体"/>
        </w:rPr>
        <w:t>国有控股上市公司与民营上市公司</w:t>
      </w:r>
      <w:r>
        <w:rPr>
          <w:rFonts w:ascii="宋体" w:hAnsi="宋体"/>
        </w:rPr>
        <w:t>的整体表现情况</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756"/>
        <w:gridCol w:w="1026"/>
        <w:gridCol w:w="1116"/>
        <w:gridCol w:w="1116"/>
        <w:gridCol w:w="666"/>
        <w:gridCol w:w="1027"/>
        <w:gridCol w:w="1027"/>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0" w:hRule="atLeast"/>
        </w:trPr>
        <w:tc>
          <w:tcPr>
            <w:tcW w:w="485" w:type="pct"/>
            <w:shd w:val="clear" w:color="auto" w:fill="E7E6E6" w:themeFill="background2"/>
            <w:vAlign w:val="center"/>
          </w:tcPr>
          <w:p>
            <w:pPr>
              <w:ind w:firstLine="0" w:firstLineChars="0"/>
              <w:jc w:val="center"/>
              <w:rPr>
                <w:rFonts w:ascii="宋体" w:hAnsi="宋体"/>
                <w:b/>
                <w:sz w:val="18"/>
              </w:rPr>
            </w:pPr>
            <w:r>
              <w:rPr>
                <w:rFonts w:hint="eastAsia" w:ascii="宋体" w:hAnsi="宋体"/>
                <w:b/>
                <w:sz w:val="18"/>
              </w:rPr>
              <w:t>分类</w:t>
            </w:r>
          </w:p>
        </w:tc>
        <w:tc>
          <w:tcPr>
            <w:tcW w:w="457" w:type="pct"/>
            <w:shd w:val="clear" w:color="auto" w:fill="E7E6E6" w:themeFill="background2"/>
            <w:vAlign w:val="center"/>
          </w:tcPr>
          <w:p>
            <w:pPr>
              <w:ind w:firstLine="0" w:firstLineChars="0"/>
              <w:jc w:val="center"/>
              <w:rPr>
                <w:rFonts w:ascii="宋体" w:hAnsi="宋体"/>
                <w:b/>
                <w:sz w:val="18"/>
              </w:rPr>
            </w:pPr>
            <w:r>
              <w:rPr>
                <w:rFonts w:ascii="宋体" w:hAnsi="宋体"/>
                <w:b/>
                <w:sz w:val="18"/>
              </w:rPr>
              <w:t>上市公司数量（家）</w:t>
            </w:r>
          </w:p>
        </w:tc>
        <w:tc>
          <w:tcPr>
            <w:tcW w:w="618" w:type="pct"/>
            <w:shd w:val="clear" w:color="auto" w:fill="E7E6E6" w:themeFill="background2"/>
            <w:vAlign w:val="center"/>
          </w:tcPr>
          <w:p>
            <w:pPr>
              <w:ind w:firstLine="0" w:firstLineChars="0"/>
              <w:jc w:val="center"/>
              <w:rPr>
                <w:rFonts w:ascii="宋体" w:hAnsi="宋体"/>
                <w:b/>
                <w:sz w:val="18"/>
              </w:rPr>
            </w:pPr>
            <w:r>
              <w:rPr>
                <w:rFonts w:ascii="宋体" w:hAnsi="宋体"/>
                <w:b/>
                <w:sz w:val="18"/>
              </w:rPr>
              <w:t>总市值（亿元）</w:t>
            </w:r>
          </w:p>
        </w:tc>
        <w:tc>
          <w:tcPr>
            <w:tcW w:w="673" w:type="pct"/>
            <w:shd w:val="clear" w:color="auto" w:fill="E7E6E6" w:themeFill="background2"/>
            <w:vAlign w:val="center"/>
          </w:tcPr>
          <w:p>
            <w:pPr>
              <w:ind w:firstLine="0" w:firstLineChars="0"/>
              <w:jc w:val="center"/>
              <w:rPr>
                <w:rFonts w:ascii="宋体" w:hAnsi="宋体"/>
                <w:b/>
                <w:sz w:val="18"/>
              </w:rPr>
            </w:pPr>
            <w:r>
              <w:rPr>
                <w:rFonts w:ascii="宋体" w:hAnsi="宋体"/>
                <w:b/>
                <w:sz w:val="18"/>
              </w:rPr>
              <w:t>2022</w:t>
            </w:r>
            <w:r>
              <w:rPr>
                <w:rFonts w:hint="eastAsia" w:ascii="宋体" w:hAnsi="宋体"/>
                <w:b/>
                <w:sz w:val="18"/>
              </w:rPr>
              <w:t>年半年度总营收</w:t>
            </w:r>
            <w:r>
              <w:rPr>
                <w:rFonts w:ascii="宋体" w:hAnsi="宋体"/>
                <w:b/>
                <w:sz w:val="18"/>
              </w:rPr>
              <w:t>(</w:t>
            </w:r>
            <w:r>
              <w:rPr>
                <w:rFonts w:hint="eastAsia" w:ascii="宋体" w:hAnsi="宋体"/>
                <w:b/>
                <w:sz w:val="18"/>
              </w:rPr>
              <w:t>亿元</w:t>
            </w:r>
            <w:r>
              <w:rPr>
                <w:rFonts w:ascii="宋体" w:hAnsi="宋体"/>
                <w:b/>
                <w:sz w:val="18"/>
              </w:rPr>
              <w:t>)</w:t>
            </w:r>
          </w:p>
        </w:tc>
        <w:tc>
          <w:tcPr>
            <w:tcW w:w="673" w:type="pct"/>
            <w:shd w:val="clear" w:color="auto" w:fill="E7E6E6" w:themeFill="background2"/>
            <w:vAlign w:val="center"/>
          </w:tcPr>
          <w:p>
            <w:pPr>
              <w:ind w:firstLine="0" w:firstLineChars="0"/>
              <w:jc w:val="center"/>
              <w:rPr>
                <w:rFonts w:ascii="宋体" w:hAnsi="宋体"/>
                <w:b/>
                <w:sz w:val="18"/>
              </w:rPr>
            </w:pPr>
            <w:r>
              <w:rPr>
                <w:rFonts w:ascii="宋体" w:hAnsi="宋体"/>
                <w:b/>
                <w:sz w:val="18"/>
              </w:rPr>
              <w:t>2023</w:t>
            </w:r>
            <w:r>
              <w:rPr>
                <w:rFonts w:hint="eastAsia" w:ascii="宋体" w:hAnsi="宋体"/>
                <w:b/>
                <w:sz w:val="18"/>
              </w:rPr>
              <w:t>年半年度总营收</w:t>
            </w:r>
            <w:r>
              <w:rPr>
                <w:rFonts w:ascii="宋体" w:hAnsi="宋体"/>
                <w:b/>
                <w:sz w:val="18"/>
              </w:rPr>
              <w:t>(</w:t>
            </w:r>
            <w:r>
              <w:rPr>
                <w:rFonts w:hint="eastAsia" w:ascii="宋体" w:hAnsi="宋体"/>
                <w:b/>
                <w:sz w:val="18"/>
              </w:rPr>
              <w:t>亿元</w:t>
            </w:r>
            <w:r>
              <w:rPr>
                <w:rFonts w:ascii="宋体" w:hAnsi="宋体"/>
                <w:b/>
                <w:sz w:val="18"/>
              </w:rPr>
              <w:t>)</w:t>
            </w:r>
          </w:p>
        </w:tc>
        <w:tc>
          <w:tcPr>
            <w:tcW w:w="401" w:type="pct"/>
            <w:shd w:val="clear" w:color="auto" w:fill="E7E6E6" w:themeFill="background2"/>
            <w:vAlign w:val="center"/>
          </w:tcPr>
          <w:p>
            <w:pPr>
              <w:ind w:firstLine="0" w:firstLineChars="0"/>
              <w:jc w:val="center"/>
              <w:rPr>
                <w:rFonts w:ascii="宋体" w:hAnsi="宋体"/>
                <w:b/>
                <w:sz w:val="18"/>
              </w:rPr>
            </w:pPr>
            <w:r>
              <w:rPr>
                <w:rFonts w:hint="eastAsia" w:ascii="宋体" w:hAnsi="宋体"/>
                <w:b/>
                <w:sz w:val="18"/>
              </w:rPr>
              <w:t>同比</w:t>
            </w:r>
          </w:p>
        </w:tc>
        <w:tc>
          <w:tcPr>
            <w:tcW w:w="618" w:type="pct"/>
            <w:shd w:val="clear" w:color="auto" w:fill="E7E6E6" w:themeFill="background2"/>
            <w:vAlign w:val="center"/>
          </w:tcPr>
          <w:p>
            <w:pPr>
              <w:ind w:firstLine="0" w:firstLineChars="0"/>
              <w:jc w:val="center"/>
              <w:rPr>
                <w:rFonts w:ascii="宋体" w:hAnsi="宋体"/>
                <w:b/>
                <w:sz w:val="18"/>
              </w:rPr>
            </w:pPr>
            <w:r>
              <w:rPr>
                <w:rFonts w:ascii="宋体" w:hAnsi="宋体"/>
                <w:b/>
                <w:sz w:val="18"/>
              </w:rPr>
              <w:t>2022</w:t>
            </w:r>
            <w:r>
              <w:rPr>
                <w:rFonts w:hint="eastAsia" w:ascii="宋体" w:hAnsi="宋体"/>
                <w:b/>
                <w:sz w:val="18"/>
              </w:rPr>
              <w:t>年半年度净利润总额</w:t>
            </w:r>
            <w:r>
              <w:rPr>
                <w:rFonts w:ascii="宋体" w:hAnsi="宋体"/>
                <w:b/>
                <w:sz w:val="18"/>
              </w:rPr>
              <w:t>(</w:t>
            </w:r>
            <w:r>
              <w:rPr>
                <w:rFonts w:hint="eastAsia" w:ascii="宋体" w:hAnsi="宋体"/>
                <w:b/>
                <w:sz w:val="18"/>
              </w:rPr>
              <w:t>亿元</w:t>
            </w:r>
            <w:r>
              <w:rPr>
                <w:rFonts w:ascii="宋体" w:hAnsi="宋体"/>
                <w:b/>
                <w:sz w:val="18"/>
              </w:rPr>
              <w:t>)</w:t>
            </w:r>
          </w:p>
        </w:tc>
        <w:tc>
          <w:tcPr>
            <w:tcW w:w="257" w:type="pct"/>
            <w:shd w:val="clear" w:color="auto" w:fill="E7E6E6" w:themeFill="background2"/>
            <w:vAlign w:val="center"/>
          </w:tcPr>
          <w:p>
            <w:pPr>
              <w:ind w:firstLine="0" w:firstLineChars="0"/>
              <w:jc w:val="center"/>
              <w:rPr>
                <w:rFonts w:ascii="宋体" w:hAnsi="宋体"/>
                <w:b/>
                <w:sz w:val="18"/>
              </w:rPr>
            </w:pPr>
            <w:r>
              <w:rPr>
                <w:rFonts w:ascii="宋体" w:hAnsi="宋体"/>
                <w:b/>
                <w:sz w:val="18"/>
              </w:rPr>
              <w:t>2023</w:t>
            </w:r>
            <w:r>
              <w:rPr>
                <w:rFonts w:hint="eastAsia" w:ascii="宋体" w:hAnsi="宋体"/>
                <w:b/>
                <w:sz w:val="18"/>
              </w:rPr>
              <w:t>年半年度净利润总额</w:t>
            </w:r>
            <w:r>
              <w:rPr>
                <w:rFonts w:ascii="宋体" w:hAnsi="宋体"/>
                <w:b/>
                <w:sz w:val="18"/>
              </w:rPr>
              <w:t>(</w:t>
            </w:r>
            <w:r>
              <w:rPr>
                <w:rFonts w:hint="eastAsia" w:ascii="宋体" w:hAnsi="宋体"/>
                <w:b/>
                <w:sz w:val="18"/>
              </w:rPr>
              <w:t>亿元</w:t>
            </w:r>
            <w:r>
              <w:rPr>
                <w:rFonts w:ascii="宋体" w:hAnsi="宋体"/>
                <w:b/>
                <w:sz w:val="18"/>
              </w:rPr>
              <w:t>)</w:t>
            </w:r>
          </w:p>
        </w:tc>
        <w:tc>
          <w:tcPr>
            <w:tcW w:w="817" w:type="pct"/>
            <w:shd w:val="clear" w:color="auto" w:fill="E7E6E6" w:themeFill="background2"/>
            <w:vAlign w:val="center"/>
          </w:tcPr>
          <w:p>
            <w:pPr>
              <w:ind w:firstLine="0" w:firstLineChars="0"/>
              <w:jc w:val="center"/>
              <w:rPr>
                <w:rFonts w:ascii="宋体" w:hAnsi="宋体"/>
                <w:b/>
                <w:sz w:val="18"/>
              </w:rPr>
            </w:pPr>
            <w:r>
              <w:rPr>
                <w:rFonts w:hint="eastAsia" w:ascii="宋体" w:hAnsi="宋体"/>
                <w:b/>
                <w:sz w:val="18"/>
              </w:rPr>
              <w:t>同比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ind w:firstLine="0" w:firstLineChars="0"/>
              <w:jc w:val="center"/>
              <w:rPr>
                <w:rFonts w:ascii="宋体" w:hAnsi="宋体"/>
                <w:sz w:val="18"/>
              </w:rPr>
            </w:pPr>
            <w:r>
              <w:rPr>
                <w:rFonts w:hint="eastAsia" w:ascii="宋体" w:hAnsi="宋体"/>
                <w:b/>
                <w:sz w:val="18"/>
              </w:rPr>
              <w:t>国有控股</w:t>
            </w:r>
            <w:r>
              <w:rPr>
                <w:rFonts w:hint="eastAsia" w:ascii="宋体" w:hAnsi="宋体" w:eastAsia="宋体" w:cs="微软雅黑"/>
                <w:b/>
                <w:bCs/>
                <w:sz w:val="18"/>
                <w:szCs w:val="18"/>
              </w:rPr>
              <w:t>上市公司</w:t>
            </w:r>
          </w:p>
        </w:tc>
        <w:tc>
          <w:tcPr>
            <w:tcW w:w="457" w:type="pct"/>
            <w:vAlign w:val="center"/>
          </w:tcPr>
          <w:p>
            <w:pPr>
              <w:ind w:firstLine="0" w:firstLineChars="0"/>
              <w:jc w:val="center"/>
              <w:rPr>
                <w:rFonts w:ascii="宋体" w:hAnsi="宋体"/>
                <w:sz w:val="18"/>
              </w:rPr>
            </w:pPr>
            <w:r>
              <w:rPr>
                <w:rFonts w:ascii="宋体" w:hAnsi="宋体"/>
                <w:sz w:val="18"/>
              </w:rPr>
              <w:t>1376</w:t>
            </w:r>
          </w:p>
        </w:tc>
        <w:tc>
          <w:tcPr>
            <w:tcW w:w="618" w:type="pct"/>
            <w:vAlign w:val="center"/>
          </w:tcPr>
          <w:p>
            <w:pPr>
              <w:ind w:firstLine="0" w:firstLineChars="0"/>
              <w:jc w:val="center"/>
              <w:rPr>
                <w:rFonts w:ascii="宋体" w:hAnsi="宋体"/>
                <w:sz w:val="18"/>
              </w:rPr>
            </w:pPr>
            <w:r>
              <w:rPr>
                <w:rFonts w:ascii="宋体" w:hAnsi="宋体"/>
                <w:sz w:val="18"/>
              </w:rPr>
              <w:t>424701.42</w:t>
            </w:r>
          </w:p>
        </w:tc>
        <w:tc>
          <w:tcPr>
            <w:tcW w:w="673" w:type="pct"/>
            <w:vAlign w:val="center"/>
          </w:tcPr>
          <w:p>
            <w:pPr>
              <w:ind w:firstLine="0" w:firstLineChars="0"/>
              <w:jc w:val="center"/>
              <w:rPr>
                <w:rFonts w:ascii="宋体" w:hAnsi="宋体"/>
                <w:sz w:val="18"/>
              </w:rPr>
            </w:pPr>
            <w:r>
              <w:rPr>
                <w:rFonts w:ascii="宋体" w:hAnsi="宋体"/>
                <w:sz w:val="18"/>
              </w:rPr>
              <w:t>230,259.07</w:t>
            </w:r>
          </w:p>
        </w:tc>
        <w:tc>
          <w:tcPr>
            <w:tcW w:w="673" w:type="pct"/>
            <w:vAlign w:val="center"/>
          </w:tcPr>
          <w:p>
            <w:pPr>
              <w:ind w:firstLine="0" w:firstLineChars="0"/>
              <w:jc w:val="center"/>
              <w:rPr>
                <w:rFonts w:ascii="宋体" w:hAnsi="宋体"/>
                <w:sz w:val="18"/>
              </w:rPr>
            </w:pPr>
            <w:r>
              <w:rPr>
                <w:rFonts w:ascii="宋体" w:hAnsi="宋体"/>
                <w:sz w:val="18"/>
              </w:rPr>
              <w:t>232,396.14</w:t>
            </w:r>
          </w:p>
        </w:tc>
        <w:tc>
          <w:tcPr>
            <w:tcW w:w="401" w:type="pct"/>
            <w:vAlign w:val="center"/>
          </w:tcPr>
          <w:p>
            <w:pPr>
              <w:ind w:firstLine="0" w:firstLineChars="0"/>
              <w:jc w:val="center"/>
              <w:rPr>
                <w:rFonts w:ascii="宋体" w:hAnsi="宋体"/>
                <w:sz w:val="18"/>
              </w:rPr>
            </w:pPr>
            <w:r>
              <w:rPr>
                <w:rFonts w:ascii="宋体" w:hAnsi="宋体"/>
                <w:sz w:val="18"/>
              </w:rPr>
              <w:t>0.93%</w:t>
            </w:r>
          </w:p>
        </w:tc>
        <w:tc>
          <w:tcPr>
            <w:tcW w:w="618" w:type="pct"/>
            <w:vAlign w:val="center"/>
          </w:tcPr>
          <w:p>
            <w:pPr>
              <w:ind w:firstLine="0" w:firstLineChars="0"/>
              <w:jc w:val="center"/>
              <w:rPr>
                <w:rFonts w:ascii="宋体" w:hAnsi="宋体"/>
                <w:sz w:val="18"/>
              </w:rPr>
            </w:pPr>
            <w:r>
              <w:rPr>
                <w:rFonts w:ascii="宋体" w:hAnsi="宋体"/>
                <w:sz w:val="18"/>
              </w:rPr>
              <w:t>20,612.52</w:t>
            </w:r>
          </w:p>
        </w:tc>
        <w:tc>
          <w:tcPr>
            <w:tcW w:w="257" w:type="pct"/>
            <w:vAlign w:val="center"/>
          </w:tcPr>
          <w:p>
            <w:pPr>
              <w:ind w:firstLine="0" w:firstLineChars="0"/>
              <w:jc w:val="center"/>
              <w:rPr>
                <w:rFonts w:ascii="宋体" w:hAnsi="宋体"/>
                <w:sz w:val="18"/>
              </w:rPr>
            </w:pPr>
            <w:r>
              <w:rPr>
                <w:rFonts w:ascii="宋体" w:hAnsi="宋体"/>
                <w:sz w:val="18"/>
              </w:rPr>
              <w:t>20,048.38</w:t>
            </w:r>
          </w:p>
        </w:tc>
        <w:tc>
          <w:tcPr>
            <w:tcW w:w="817" w:type="pct"/>
            <w:vAlign w:val="center"/>
          </w:tcPr>
          <w:p>
            <w:pPr>
              <w:ind w:firstLine="0" w:firstLineChars="0"/>
              <w:jc w:val="center"/>
              <w:rPr>
                <w:rFonts w:ascii="宋体" w:hAnsi="宋体"/>
                <w:sz w:val="18"/>
              </w:rPr>
            </w:pPr>
            <w:r>
              <w:rPr>
                <w:rFonts w:ascii="宋体" w:hAnsi="宋体"/>
                <w:sz w:val="18"/>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ind w:firstLine="0" w:firstLineChars="0"/>
              <w:jc w:val="center"/>
              <w:rPr>
                <w:rFonts w:ascii="宋体" w:hAnsi="宋体"/>
                <w:sz w:val="18"/>
              </w:rPr>
            </w:pPr>
            <w:r>
              <w:rPr>
                <w:rFonts w:hint="eastAsia" w:ascii="宋体" w:hAnsi="宋体"/>
                <w:b/>
                <w:sz w:val="18"/>
              </w:rPr>
              <w:t>民营</w:t>
            </w:r>
            <w:r>
              <w:rPr>
                <w:rFonts w:hint="eastAsia" w:ascii="宋体" w:hAnsi="宋体" w:eastAsia="宋体" w:cs="微软雅黑"/>
                <w:b/>
                <w:bCs/>
                <w:sz w:val="18"/>
                <w:szCs w:val="18"/>
              </w:rPr>
              <w:t>上市公司</w:t>
            </w:r>
          </w:p>
        </w:tc>
        <w:tc>
          <w:tcPr>
            <w:tcW w:w="457" w:type="pct"/>
            <w:vAlign w:val="center"/>
          </w:tcPr>
          <w:p>
            <w:pPr>
              <w:ind w:firstLine="0" w:firstLineChars="0"/>
              <w:jc w:val="center"/>
              <w:rPr>
                <w:rFonts w:ascii="宋体" w:hAnsi="宋体"/>
                <w:sz w:val="18"/>
              </w:rPr>
            </w:pPr>
            <w:r>
              <w:rPr>
                <w:rFonts w:ascii="宋体" w:hAnsi="宋体"/>
                <w:sz w:val="18"/>
              </w:rPr>
              <w:t>3291</w:t>
            </w:r>
          </w:p>
        </w:tc>
        <w:tc>
          <w:tcPr>
            <w:tcW w:w="618" w:type="pct"/>
            <w:vAlign w:val="center"/>
          </w:tcPr>
          <w:p>
            <w:pPr>
              <w:ind w:firstLine="0" w:firstLineChars="0"/>
              <w:jc w:val="center"/>
              <w:rPr>
                <w:rFonts w:ascii="宋体" w:hAnsi="宋体"/>
                <w:sz w:val="18"/>
              </w:rPr>
            </w:pPr>
            <w:r>
              <w:rPr>
                <w:rFonts w:ascii="宋体" w:hAnsi="宋体"/>
                <w:sz w:val="18"/>
              </w:rPr>
              <w:t>326037.29</w:t>
            </w:r>
          </w:p>
        </w:tc>
        <w:tc>
          <w:tcPr>
            <w:tcW w:w="673" w:type="pct"/>
            <w:vAlign w:val="center"/>
          </w:tcPr>
          <w:p>
            <w:pPr>
              <w:ind w:firstLine="0" w:firstLineChars="0"/>
              <w:jc w:val="center"/>
              <w:rPr>
                <w:rFonts w:ascii="宋体" w:hAnsi="宋体"/>
                <w:sz w:val="18"/>
              </w:rPr>
            </w:pPr>
            <w:r>
              <w:rPr>
                <w:rFonts w:ascii="宋体" w:hAnsi="宋体"/>
                <w:sz w:val="18"/>
              </w:rPr>
              <w:t>75,783.56</w:t>
            </w:r>
          </w:p>
        </w:tc>
        <w:tc>
          <w:tcPr>
            <w:tcW w:w="673" w:type="pct"/>
            <w:vAlign w:val="center"/>
          </w:tcPr>
          <w:p>
            <w:pPr>
              <w:ind w:firstLine="0" w:firstLineChars="0"/>
              <w:jc w:val="center"/>
              <w:rPr>
                <w:rFonts w:ascii="宋体" w:hAnsi="宋体"/>
                <w:sz w:val="18"/>
              </w:rPr>
            </w:pPr>
            <w:r>
              <w:rPr>
                <w:rFonts w:ascii="宋体" w:hAnsi="宋体"/>
                <w:sz w:val="18"/>
              </w:rPr>
              <w:t>81,294.12</w:t>
            </w:r>
          </w:p>
        </w:tc>
        <w:tc>
          <w:tcPr>
            <w:tcW w:w="401" w:type="pct"/>
            <w:vAlign w:val="center"/>
          </w:tcPr>
          <w:p>
            <w:pPr>
              <w:ind w:firstLine="0" w:firstLineChars="0"/>
              <w:jc w:val="center"/>
              <w:rPr>
                <w:rFonts w:ascii="宋体" w:hAnsi="宋体"/>
                <w:sz w:val="18"/>
              </w:rPr>
            </w:pPr>
            <w:r>
              <w:rPr>
                <w:rFonts w:ascii="宋体" w:hAnsi="宋体"/>
                <w:sz w:val="18"/>
              </w:rPr>
              <w:t>7.27%</w:t>
            </w:r>
          </w:p>
        </w:tc>
        <w:tc>
          <w:tcPr>
            <w:tcW w:w="618" w:type="pct"/>
            <w:vAlign w:val="center"/>
          </w:tcPr>
          <w:p>
            <w:pPr>
              <w:ind w:firstLine="0" w:firstLineChars="0"/>
              <w:jc w:val="center"/>
              <w:rPr>
                <w:rFonts w:ascii="宋体" w:hAnsi="宋体"/>
                <w:sz w:val="18"/>
              </w:rPr>
            </w:pPr>
            <w:r>
              <w:rPr>
                <w:rFonts w:ascii="宋体" w:hAnsi="宋体"/>
                <w:sz w:val="18"/>
              </w:rPr>
              <w:t>5,530.48</w:t>
            </w:r>
          </w:p>
        </w:tc>
        <w:tc>
          <w:tcPr>
            <w:tcW w:w="257" w:type="pct"/>
            <w:vAlign w:val="center"/>
          </w:tcPr>
          <w:p>
            <w:pPr>
              <w:ind w:firstLine="0" w:firstLineChars="0"/>
              <w:jc w:val="center"/>
              <w:rPr>
                <w:rFonts w:ascii="宋体" w:hAnsi="宋体"/>
                <w:sz w:val="18"/>
              </w:rPr>
            </w:pPr>
            <w:r>
              <w:rPr>
                <w:rFonts w:ascii="宋体" w:hAnsi="宋体"/>
                <w:sz w:val="18"/>
              </w:rPr>
              <w:t>4,904.15</w:t>
            </w:r>
          </w:p>
        </w:tc>
        <w:tc>
          <w:tcPr>
            <w:tcW w:w="817" w:type="pct"/>
            <w:vAlign w:val="center"/>
          </w:tcPr>
          <w:p>
            <w:pPr>
              <w:ind w:firstLine="0" w:firstLineChars="0"/>
              <w:jc w:val="center"/>
              <w:rPr>
                <w:rFonts w:ascii="宋体" w:hAnsi="宋体"/>
                <w:sz w:val="18"/>
              </w:rPr>
            </w:pPr>
            <w:r>
              <w:rPr>
                <w:rFonts w:ascii="宋体" w:hAnsi="宋体"/>
                <w:sz w:val="18"/>
              </w:rPr>
              <w:t>-11.33%</w:t>
            </w:r>
          </w:p>
        </w:tc>
      </w:tr>
    </w:tbl>
    <w:p>
      <w:pPr>
        <w:pStyle w:val="44"/>
        <w:rPr>
          <w:rFonts w:ascii="宋体" w:hAnsi="宋体"/>
        </w:rPr>
      </w:pPr>
      <w:r>
        <w:rPr>
          <w:rFonts w:hint="eastAsia" w:ascii="宋体" w:hAnsi="宋体"/>
        </w:rPr>
        <w:t>数据来源：</w:t>
      </w:r>
      <w:r>
        <w:rPr>
          <w:rFonts w:ascii="宋体" w:hAnsi="宋体"/>
        </w:rPr>
        <w:t>Choice、</w:t>
      </w:r>
      <w:r>
        <w:rPr>
          <w:rFonts w:hint="eastAsia" w:ascii="宋体" w:hAnsi="宋体"/>
        </w:rPr>
        <w:t>易董</w:t>
      </w:r>
      <w:r>
        <w:rPr>
          <w:rFonts w:ascii="宋体" w:hAnsi="宋体"/>
        </w:rPr>
        <w:t>研究所</w:t>
      </w:r>
      <w:r>
        <w:rPr>
          <w:rFonts w:hint="eastAsia" w:ascii="宋体" w:hAnsi="宋体"/>
        </w:rPr>
        <w:t>整理</w:t>
      </w:r>
    </w:p>
    <w:p>
      <w:pPr>
        <w:autoSpaceDE w:val="0"/>
        <w:rPr>
          <w:rFonts w:ascii="宋体" w:hAnsi="宋体"/>
          <w:b/>
        </w:rPr>
      </w:pPr>
    </w:p>
    <w:p>
      <w:pPr>
        <w:autoSpaceDE w:val="0"/>
        <w:ind w:firstLine="422"/>
        <w:rPr>
          <w:rFonts w:ascii="宋体" w:hAnsi="宋体" w:eastAsia="宋体" w:cs="宋体"/>
          <w:szCs w:val="21"/>
          <w:lang w:bidi="ar"/>
        </w:rPr>
      </w:pPr>
      <w:r>
        <w:rPr>
          <w:rFonts w:ascii="宋体" w:hAnsi="宋体" w:eastAsia="宋体" w:cs="宋体"/>
          <w:b/>
          <w:bCs/>
          <w:szCs w:val="21"/>
          <w:lang w:bidi="ar"/>
        </w:rPr>
        <w:t>国有控股上市公司</w:t>
      </w:r>
      <w:r>
        <w:rPr>
          <w:rFonts w:hint="eastAsia" w:ascii="宋体" w:hAnsi="宋体" w:eastAsia="宋体" w:cs="宋体"/>
          <w:b/>
          <w:bCs/>
          <w:szCs w:val="21"/>
          <w:lang w:bidi="ar"/>
        </w:rPr>
        <w:t>多为关系国计民生以及国民经济命脉、科技、安全的行业</w:t>
      </w:r>
      <w:r>
        <w:rPr>
          <w:rFonts w:ascii="宋体" w:hAnsi="宋体" w:eastAsia="宋体" w:cs="宋体"/>
          <w:b/>
          <w:bCs/>
          <w:szCs w:val="21"/>
          <w:lang w:bidi="ar"/>
        </w:rPr>
        <w:t>。</w:t>
      </w:r>
      <w:r>
        <w:rPr>
          <w:rFonts w:hint="eastAsia" w:ascii="宋体" w:hAnsi="宋体" w:eastAsia="宋体" w:cs="宋体"/>
          <w:szCs w:val="21"/>
          <w:lang w:bidi="ar"/>
        </w:rPr>
        <w:t>截至2</w:t>
      </w:r>
      <w:r>
        <w:rPr>
          <w:rFonts w:ascii="宋体" w:hAnsi="宋体" w:eastAsia="宋体" w:cs="宋体"/>
          <w:szCs w:val="21"/>
          <w:lang w:bidi="ar"/>
        </w:rPr>
        <w:t>023</w:t>
      </w:r>
      <w:r>
        <w:rPr>
          <w:rFonts w:hint="eastAsia" w:ascii="宋体" w:hAnsi="宋体" w:eastAsia="宋体" w:cs="宋体"/>
          <w:szCs w:val="21"/>
          <w:lang w:bidi="ar"/>
        </w:rPr>
        <w:t>年6月3</w:t>
      </w:r>
      <w:r>
        <w:rPr>
          <w:rFonts w:ascii="宋体" w:hAnsi="宋体" w:eastAsia="宋体" w:cs="宋体"/>
          <w:szCs w:val="21"/>
          <w:lang w:bidi="ar"/>
        </w:rPr>
        <w:t>0</w:t>
      </w:r>
      <w:r>
        <w:rPr>
          <w:rFonts w:hint="eastAsia" w:ascii="宋体" w:hAnsi="宋体" w:eastAsia="宋体" w:cs="宋体"/>
          <w:szCs w:val="21"/>
          <w:lang w:bidi="ar"/>
        </w:rPr>
        <w:t>日，在A股市场各行业中，国有上市公司</w:t>
      </w:r>
      <w:r>
        <w:rPr>
          <w:rFonts w:hint="eastAsia" w:ascii="宋体" w:hAnsi="宋体"/>
          <w:b/>
        </w:rPr>
        <w:t>数量占比</w:t>
      </w:r>
      <w:r>
        <w:rPr>
          <w:rFonts w:hint="eastAsia" w:ascii="宋体" w:hAnsi="宋体" w:eastAsia="宋体" w:cs="宋体"/>
          <w:szCs w:val="21"/>
          <w:lang w:bidi="ar"/>
        </w:rPr>
        <w:t>超过5</w:t>
      </w:r>
      <w:r>
        <w:rPr>
          <w:rFonts w:ascii="宋体" w:hAnsi="宋体" w:eastAsia="宋体" w:cs="宋体"/>
          <w:szCs w:val="21"/>
          <w:lang w:bidi="ar"/>
        </w:rPr>
        <w:t>0%</w:t>
      </w:r>
      <w:r>
        <w:rPr>
          <w:rFonts w:hint="eastAsia" w:ascii="宋体" w:hAnsi="宋体" w:eastAsia="宋体" w:cs="宋体"/>
          <w:szCs w:val="21"/>
          <w:lang w:bidi="ar"/>
        </w:rPr>
        <w:t>的行业共8个，分别为煤炭（81.58%；</w:t>
      </w:r>
      <w:r>
        <w:rPr>
          <w:rFonts w:ascii="宋体" w:hAnsi="宋体" w:eastAsia="宋体" w:cs="宋体"/>
          <w:szCs w:val="21"/>
          <w:lang w:bidi="ar"/>
        </w:rPr>
        <w:t>31</w:t>
      </w:r>
      <w:r>
        <w:rPr>
          <w:rFonts w:hint="eastAsia" w:ascii="宋体" w:hAnsi="宋体" w:eastAsia="宋体" w:cs="宋体"/>
          <w:szCs w:val="21"/>
          <w:lang w:bidi="ar"/>
        </w:rPr>
        <w:t>家）、公用事业（65.63%；</w:t>
      </w:r>
      <w:r>
        <w:rPr>
          <w:rFonts w:ascii="宋体" w:hAnsi="宋体" w:eastAsia="宋体" w:cs="宋体"/>
          <w:szCs w:val="21"/>
          <w:lang w:bidi="ar"/>
        </w:rPr>
        <w:t>84</w:t>
      </w:r>
      <w:r>
        <w:rPr>
          <w:rFonts w:hint="eastAsia" w:ascii="宋体" w:hAnsi="宋体" w:eastAsia="宋体" w:cs="宋体"/>
          <w:szCs w:val="21"/>
          <w:lang w:bidi="ar"/>
        </w:rPr>
        <w:t>家）、非银金融（62.79%；</w:t>
      </w:r>
      <w:r>
        <w:rPr>
          <w:rFonts w:ascii="宋体" w:hAnsi="宋体" w:eastAsia="宋体" w:cs="宋体"/>
          <w:szCs w:val="21"/>
          <w:lang w:bidi="ar"/>
        </w:rPr>
        <w:t>54</w:t>
      </w:r>
      <w:r>
        <w:rPr>
          <w:rFonts w:hint="eastAsia" w:ascii="宋体" w:hAnsi="宋体" w:eastAsia="宋体" w:cs="宋体"/>
          <w:szCs w:val="21"/>
          <w:lang w:bidi="ar"/>
        </w:rPr>
        <w:t>家）、交通运输（62.70%；</w:t>
      </w:r>
      <w:r>
        <w:rPr>
          <w:rFonts w:ascii="宋体" w:hAnsi="宋体" w:eastAsia="宋体" w:cs="宋体"/>
          <w:szCs w:val="21"/>
          <w:lang w:bidi="ar"/>
        </w:rPr>
        <w:t>79</w:t>
      </w:r>
      <w:r>
        <w:rPr>
          <w:rFonts w:hint="eastAsia" w:ascii="宋体" w:hAnsi="宋体" w:eastAsia="宋体" w:cs="宋体"/>
          <w:szCs w:val="21"/>
          <w:lang w:bidi="ar"/>
        </w:rPr>
        <w:t>家）、钢铁（62.22%；</w:t>
      </w:r>
      <w:r>
        <w:rPr>
          <w:rFonts w:ascii="宋体" w:hAnsi="宋体" w:eastAsia="宋体" w:cs="宋体"/>
          <w:szCs w:val="21"/>
          <w:lang w:bidi="ar"/>
        </w:rPr>
        <w:t>28</w:t>
      </w:r>
      <w:r>
        <w:rPr>
          <w:rFonts w:hint="eastAsia" w:ascii="宋体" w:hAnsi="宋体" w:eastAsia="宋体" w:cs="宋体"/>
          <w:szCs w:val="21"/>
          <w:lang w:bidi="ar"/>
        </w:rPr>
        <w:t>家）、银行（59.52%；</w:t>
      </w:r>
      <w:r>
        <w:rPr>
          <w:rFonts w:ascii="宋体" w:hAnsi="宋体" w:eastAsia="宋体" w:cs="宋体"/>
          <w:szCs w:val="21"/>
          <w:lang w:bidi="ar"/>
        </w:rPr>
        <w:t>25</w:t>
      </w:r>
      <w:r>
        <w:rPr>
          <w:rFonts w:hint="eastAsia" w:ascii="宋体" w:hAnsi="宋体" w:eastAsia="宋体" w:cs="宋体"/>
          <w:szCs w:val="21"/>
          <w:lang w:bidi="ar"/>
        </w:rPr>
        <w:t>家）、综合（59.09%；</w:t>
      </w:r>
      <w:r>
        <w:rPr>
          <w:rFonts w:ascii="宋体" w:hAnsi="宋体" w:eastAsia="宋体" w:cs="宋体"/>
          <w:szCs w:val="21"/>
          <w:lang w:bidi="ar"/>
        </w:rPr>
        <w:t>13</w:t>
      </w:r>
      <w:r>
        <w:rPr>
          <w:rFonts w:hint="eastAsia" w:ascii="宋体" w:hAnsi="宋体" w:eastAsia="宋体" w:cs="宋体"/>
          <w:szCs w:val="21"/>
          <w:lang w:bidi="ar"/>
        </w:rPr>
        <w:t>家）、房地产（58.72%；</w:t>
      </w:r>
      <w:r>
        <w:rPr>
          <w:rFonts w:ascii="宋体" w:hAnsi="宋体" w:eastAsia="宋体" w:cs="宋体"/>
          <w:szCs w:val="21"/>
          <w:lang w:bidi="ar"/>
        </w:rPr>
        <w:t>64</w:t>
      </w:r>
      <w:r>
        <w:rPr>
          <w:rFonts w:hint="eastAsia" w:ascii="宋体" w:hAnsi="宋体" w:eastAsia="宋体" w:cs="宋体"/>
          <w:szCs w:val="21"/>
          <w:lang w:bidi="ar"/>
        </w:rPr>
        <w:t>家）。从营业收入占比情况来看，在建筑装饰、煤炭、公用事业、石油石化、钢铁、国防军工、交通运输、通信、银行这9个行业中的营业收入的贡献占比均超过8</w:t>
      </w:r>
      <w:r>
        <w:rPr>
          <w:rFonts w:ascii="宋体" w:hAnsi="宋体" w:eastAsia="宋体" w:cs="宋体"/>
          <w:szCs w:val="21"/>
          <w:lang w:bidi="ar"/>
        </w:rPr>
        <w:t>0%</w:t>
      </w:r>
      <w:r>
        <w:rPr>
          <w:rFonts w:hint="eastAsia" w:ascii="宋体" w:hAnsi="宋体" w:eastAsia="宋体" w:cs="宋体"/>
          <w:szCs w:val="21"/>
          <w:lang w:bidi="ar"/>
        </w:rPr>
        <w:t>。从净利润占比情况来看，在煤炭、建筑装饰、石油石化、公用事业、交通运输、通信、银行这7个行业中的净利润贡献占比均超过8</w:t>
      </w:r>
      <w:r>
        <w:rPr>
          <w:rFonts w:ascii="宋体" w:hAnsi="宋体" w:eastAsia="宋体" w:cs="宋体"/>
          <w:szCs w:val="21"/>
          <w:lang w:bidi="ar"/>
        </w:rPr>
        <w:t>0%</w:t>
      </w:r>
      <w:r>
        <w:rPr>
          <w:rFonts w:hint="eastAsia" w:ascii="宋体" w:hAnsi="宋体" w:eastAsia="宋体" w:cs="宋体"/>
          <w:szCs w:val="21"/>
          <w:lang w:bidi="ar"/>
        </w:rPr>
        <w:t>。国有控股上市公司在对关系国家安全和国民经济命脉的重要行业及关键领域保持着绝对的控制力，未来更要充分增强国有控股上市公司在支柱性产业、战略性产业中的带动力。</w:t>
      </w:r>
    </w:p>
    <w:p>
      <w:pPr>
        <w:autoSpaceDE w:val="0"/>
        <w:rPr>
          <w:rFonts w:ascii="宋体" w:hAnsi="宋体" w:eastAsia="宋体" w:cs="宋体"/>
          <w:szCs w:val="21"/>
          <w:lang w:bidi="ar"/>
        </w:rPr>
      </w:pPr>
    </w:p>
    <w:p>
      <w:pPr>
        <w:pStyle w:val="4"/>
      </w:pPr>
      <w:bookmarkStart w:id="188" w:name="_Toc148969283"/>
      <w:bookmarkStart w:id="189" w:name="_Toc147675144"/>
      <w:bookmarkStart w:id="190" w:name="_Toc146208963"/>
      <w:bookmarkStart w:id="191" w:name="_Toc145323814"/>
      <w:r>
        <w:rPr>
          <w:rFonts w:hint="eastAsia"/>
        </w:rPr>
        <w:t>华北华东营收占比分别较大，</w:t>
      </w:r>
      <w:r>
        <w:t>西南华南营收增长</w:t>
      </w:r>
      <w:r>
        <w:rPr>
          <w:rFonts w:hint="eastAsia"/>
        </w:rPr>
        <w:t>较快</w:t>
      </w:r>
      <w:bookmarkEnd w:id="188"/>
    </w:p>
    <w:p>
      <w:pPr>
        <w:rPr>
          <w:rFonts w:ascii="宋体" w:hAnsi="宋体" w:eastAsia="宋体" w:cstheme="majorHAnsi"/>
        </w:rPr>
      </w:pPr>
      <w:r>
        <w:rPr>
          <w:szCs w:val="21"/>
        </w:rPr>
        <w:t>从各地区的</w:t>
      </w:r>
      <w:r>
        <w:rPr>
          <w:rFonts w:hint="eastAsia"/>
          <w:szCs w:val="21"/>
        </w:rPr>
        <w:t>营业收入占比情况来看</w:t>
      </w:r>
      <w:r>
        <w:rPr>
          <w:szCs w:val="21"/>
        </w:rPr>
        <w:t>，</w:t>
      </w:r>
      <w:r>
        <w:rPr>
          <w:rFonts w:hint="eastAsia"/>
          <w:szCs w:val="21"/>
        </w:rPr>
        <w:t>华北地区、华东地区贡献了全市场超七成的营业收入。其中，华北地区上市公司数量为786家，营业收入149,574.94亿元，占A股市场总营收的42.40%；华东地区上市公司数量为2,501家，营业收入112,975.36亿元，占A股市场总营收的32.03%</w:t>
      </w:r>
      <w:bookmarkEnd w:id="189"/>
      <w:r>
        <w:rPr>
          <w:rFonts w:hint="eastAsia" w:ascii="宋体" w:hAnsi="宋体" w:eastAsia="宋体" w:cstheme="majorHAnsi"/>
          <w:szCs w:val="21"/>
        </w:rPr>
        <w:t>。</w:t>
      </w:r>
      <w:r>
        <w:rPr>
          <w:rFonts w:ascii="宋体" w:hAnsi="宋体" w:eastAsia="宋体" w:cstheme="majorHAnsi"/>
        </w:rPr>
        <w:t>从各地区的</w:t>
      </w:r>
      <w:r>
        <w:rPr>
          <w:rFonts w:hint="eastAsia" w:ascii="宋体" w:hAnsi="宋体" w:eastAsia="宋体" w:cstheme="majorHAnsi"/>
        </w:rPr>
        <w:t>营业收入同比变化情况来看，西南地区、华南地区整体营收增长速度较快。其中，西南地区上市公司数量为343家，2023年上半年营业收入14,342.36亿元，同比增长7.30%，增长幅度排第一；华南地区上市公司</w:t>
      </w:r>
      <w:r>
        <w:rPr>
          <w:rFonts w:ascii="宋体" w:hAnsi="宋体" w:eastAsia="宋体" w:cstheme="majorHAnsi"/>
        </w:rPr>
        <w:t>数量为1,194家，营业收入56,698.26亿元，同比增长3.92%，增长幅度排第二</w:t>
      </w:r>
      <w:r>
        <w:rPr>
          <w:rFonts w:hint="eastAsia" w:ascii="宋体" w:hAnsi="宋体" w:eastAsia="宋体" w:cstheme="majorHAnsi"/>
        </w:rPr>
        <w:t>。</w:t>
      </w:r>
    </w:p>
    <w:p>
      <w:pPr>
        <w:pStyle w:val="7"/>
        <w:rPr>
          <w:rFonts w:ascii="宋体" w:hAnsi="宋体"/>
        </w:rPr>
      </w:pPr>
      <w:r>
        <w:rPr>
          <w:rFonts w:ascii="宋体" w:hAnsi="宋体"/>
        </w:rPr>
        <w:t xml:space="preserve">表 </w:t>
      </w:r>
      <w:r>
        <w:rPr>
          <w:rFonts w:ascii="宋体" w:hAnsi="宋体"/>
        </w:rPr>
        <w:fldChar w:fldCharType="begin"/>
      </w:r>
      <w:r>
        <w:rPr>
          <w:rFonts w:ascii="宋体" w:hAnsi="宋体"/>
        </w:rPr>
        <w:instrText xml:space="preserve"> SEQ 表 \* ARABIC </w:instrText>
      </w:r>
      <w:r>
        <w:rPr>
          <w:rFonts w:ascii="宋体" w:hAnsi="宋体"/>
        </w:rPr>
        <w:fldChar w:fldCharType="separate"/>
      </w:r>
      <w:r>
        <w:rPr>
          <w:rFonts w:ascii="宋体" w:hAnsi="宋体"/>
        </w:rPr>
        <w:t>8</w:t>
      </w:r>
      <w:r>
        <w:rPr>
          <w:rFonts w:ascii="宋体" w:hAnsi="宋体"/>
        </w:rPr>
        <w:fldChar w:fldCharType="end"/>
      </w:r>
      <w:r>
        <w:rPr>
          <w:rFonts w:ascii="宋体" w:hAnsi="宋体"/>
        </w:rPr>
        <w:t xml:space="preserve"> 2023年上市公司地区表现情况</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361"/>
        <w:gridCol w:w="1551"/>
        <w:gridCol w:w="1577"/>
        <w:gridCol w:w="1352"/>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9" w:type="pct"/>
            <w:shd w:val="clear" w:color="auto" w:fill="E7E6E6" w:themeFill="background2"/>
            <w:vAlign w:val="center"/>
          </w:tcPr>
          <w:p>
            <w:pPr>
              <w:widowControl/>
              <w:ind w:firstLine="0" w:firstLineChars="0"/>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地区</w:t>
            </w:r>
          </w:p>
        </w:tc>
        <w:tc>
          <w:tcPr>
            <w:tcW w:w="799" w:type="pct"/>
            <w:shd w:val="clear" w:color="auto" w:fill="E7E6E6" w:themeFill="background2"/>
            <w:vAlign w:val="center"/>
          </w:tcPr>
          <w:p>
            <w:pPr>
              <w:widowControl/>
              <w:ind w:firstLine="0" w:firstLineChars="0"/>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上市公司数量（家）</w:t>
            </w:r>
          </w:p>
        </w:tc>
        <w:tc>
          <w:tcPr>
            <w:tcW w:w="910" w:type="pct"/>
            <w:shd w:val="clear" w:color="auto" w:fill="E7E6E6" w:themeFill="background2"/>
            <w:vAlign w:val="center"/>
          </w:tcPr>
          <w:p>
            <w:pPr>
              <w:widowControl/>
              <w:ind w:firstLine="0" w:firstLineChars="0"/>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2022半年报——营业收入（亿元）</w:t>
            </w:r>
          </w:p>
        </w:tc>
        <w:tc>
          <w:tcPr>
            <w:tcW w:w="925" w:type="pct"/>
            <w:shd w:val="clear" w:color="auto" w:fill="E7E6E6" w:themeFill="background2"/>
            <w:vAlign w:val="center"/>
          </w:tcPr>
          <w:p>
            <w:pPr>
              <w:widowControl/>
              <w:ind w:firstLine="0" w:firstLineChars="0"/>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2023半年报——营业收入（亿元）</w:t>
            </w:r>
          </w:p>
        </w:tc>
        <w:tc>
          <w:tcPr>
            <w:tcW w:w="793" w:type="pct"/>
            <w:shd w:val="clear" w:color="auto" w:fill="E7E6E6" w:themeFill="background2"/>
            <w:vAlign w:val="center"/>
          </w:tcPr>
          <w:p>
            <w:pPr>
              <w:widowControl/>
              <w:ind w:firstLine="0" w:firstLineChars="0"/>
              <w:jc w:val="center"/>
              <w:textAlignment w:val="bottom"/>
              <w:rPr>
                <w:rFonts w:ascii="宋体" w:hAnsi="宋体"/>
                <w:b/>
                <w:color w:val="000000"/>
                <w:kern w:val="0"/>
                <w:sz w:val="18"/>
              </w:rPr>
            </w:pPr>
            <w:r>
              <w:rPr>
                <w:rFonts w:hint="eastAsia" w:ascii="宋体" w:hAnsi="宋体" w:eastAsia="宋体" w:cs="宋体"/>
                <w:b/>
                <w:bCs/>
                <w:color w:val="000000"/>
                <w:kern w:val="0"/>
                <w:sz w:val="18"/>
                <w:szCs w:val="18"/>
                <w:lang w:bidi="ar"/>
              </w:rPr>
              <w:t>2</w:t>
            </w:r>
            <w:r>
              <w:rPr>
                <w:rFonts w:ascii="宋体" w:hAnsi="宋体" w:eastAsia="宋体" w:cs="宋体"/>
                <w:b/>
                <w:bCs/>
                <w:color w:val="000000"/>
                <w:kern w:val="0"/>
                <w:sz w:val="18"/>
                <w:szCs w:val="18"/>
                <w:lang w:bidi="ar"/>
              </w:rPr>
              <w:t>023</w:t>
            </w:r>
            <w:r>
              <w:rPr>
                <w:rFonts w:hint="eastAsia" w:ascii="宋体" w:hAnsi="宋体" w:eastAsia="宋体" w:cs="宋体"/>
                <w:b/>
                <w:bCs/>
                <w:color w:val="000000"/>
                <w:kern w:val="0"/>
                <w:sz w:val="18"/>
                <w:szCs w:val="18"/>
                <w:lang w:bidi="ar"/>
              </w:rPr>
              <w:t>年营业收入占比（%）</w:t>
            </w:r>
          </w:p>
        </w:tc>
        <w:tc>
          <w:tcPr>
            <w:tcW w:w="793" w:type="pct"/>
            <w:shd w:val="clear" w:color="auto" w:fill="E7E6E6" w:themeFill="background2"/>
            <w:vAlign w:val="center"/>
          </w:tcPr>
          <w:p>
            <w:pPr>
              <w:widowControl/>
              <w:ind w:firstLine="0" w:firstLineChars="0"/>
              <w:jc w:val="center"/>
              <w:textAlignment w:val="bottom"/>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营业收入</w:t>
            </w:r>
          </w:p>
          <w:p>
            <w:pPr>
              <w:widowControl/>
              <w:ind w:firstLine="0" w:firstLineChars="0"/>
              <w:jc w:val="center"/>
              <w:textAlignment w:val="bottom"/>
              <w:rPr>
                <w:rFonts w:ascii="宋体" w:hAnsi="宋体" w:eastAsia="宋体" w:cs="宋体"/>
                <w:b/>
                <w:bCs/>
                <w:color w:val="000000"/>
                <w:kern w:val="0"/>
                <w:sz w:val="18"/>
                <w:szCs w:val="18"/>
                <w:lang w:bidi="ar"/>
              </w:rPr>
            </w:pPr>
            <w:r>
              <w:rPr>
                <w:rFonts w:hint="eastAsia" w:ascii="宋体" w:hAnsi="宋体"/>
                <w:b/>
                <w:color w:val="000000"/>
                <w:kern w:val="0"/>
                <w:sz w:val="18"/>
              </w:rPr>
              <w:t>同比变化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79" w:type="pct"/>
            <w:shd w:val="clear" w:color="auto" w:fill="auto"/>
            <w:noWrap/>
            <w:vAlign w:val="center"/>
          </w:tcPr>
          <w:p>
            <w:pPr>
              <w:widowControl/>
              <w:ind w:firstLine="0" w:firstLineChars="0"/>
              <w:jc w:val="center"/>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西南地区</w:t>
            </w:r>
          </w:p>
        </w:tc>
        <w:tc>
          <w:tcPr>
            <w:tcW w:w="799"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343</w:t>
            </w:r>
          </w:p>
        </w:tc>
        <w:tc>
          <w:tcPr>
            <w:tcW w:w="910"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13366.38</w:t>
            </w:r>
          </w:p>
        </w:tc>
        <w:tc>
          <w:tcPr>
            <w:tcW w:w="925"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14342.36</w:t>
            </w:r>
          </w:p>
        </w:tc>
        <w:tc>
          <w:tcPr>
            <w:tcW w:w="793" w:type="pct"/>
            <w:shd w:val="clear" w:color="auto" w:fill="auto"/>
            <w:noWrap/>
            <w:vAlign w:val="bottom"/>
          </w:tcPr>
          <w:p>
            <w:pPr>
              <w:widowControl/>
              <w:ind w:firstLine="0" w:firstLineChars="0"/>
              <w:jc w:val="right"/>
              <w:textAlignment w:val="bottom"/>
              <w:rPr>
                <w:rFonts w:ascii="宋体" w:hAnsi="宋体"/>
                <w:color w:val="000000"/>
                <w:kern w:val="0"/>
                <w:sz w:val="18"/>
              </w:rPr>
            </w:pPr>
            <w:r>
              <w:rPr>
                <w:rFonts w:hint="eastAsia" w:ascii="宋体" w:hAnsi="宋体" w:eastAsia="宋体" w:cs="Arial"/>
                <w:color w:val="000000"/>
                <w:kern w:val="0"/>
                <w:sz w:val="18"/>
                <w:szCs w:val="18"/>
                <w:lang w:bidi="ar"/>
              </w:rPr>
              <w:t>4.07</w:t>
            </w:r>
          </w:p>
        </w:tc>
        <w:tc>
          <w:tcPr>
            <w:tcW w:w="793" w:type="pct"/>
            <w:vAlign w:val="bottom"/>
          </w:tcPr>
          <w:p>
            <w:pPr>
              <w:widowControl/>
              <w:ind w:firstLine="0" w:firstLineChars="0"/>
              <w:jc w:val="right"/>
              <w:textAlignment w:val="bottom"/>
              <w:rPr>
                <w:rFonts w:ascii="宋体" w:hAnsi="宋体" w:eastAsia="宋体" w:cs="Arial"/>
                <w:color w:val="000000"/>
                <w:kern w:val="0"/>
                <w:sz w:val="18"/>
                <w:szCs w:val="18"/>
                <w:lang w:bidi="ar"/>
              </w:rPr>
            </w:pPr>
            <w:r>
              <w:rPr>
                <w:rFonts w:ascii="宋体" w:hAnsi="宋体" w:eastAsia="宋体" w:cs="Arial"/>
                <w:color w:val="000000"/>
                <w:kern w:val="0"/>
                <w:sz w:val="18"/>
                <w:szCs w:val="18"/>
                <w:lang w:bidi="ar"/>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79" w:type="pct"/>
            <w:shd w:val="clear" w:color="auto" w:fill="auto"/>
            <w:noWrap/>
            <w:vAlign w:val="center"/>
          </w:tcPr>
          <w:p>
            <w:pPr>
              <w:widowControl/>
              <w:ind w:firstLine="0" w:firstLineChars="0"/>
              <w:jc w:val="center"/>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华南地区</w:t>
            </w:r>
          </w:p>
        </w:tc>
        <w:tc>
          <w:tcPr>
            <w:tcW w:w="799"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1194</w:t>
            </w:r>
          </w:p>
        </w:tc>
        <w:tc>
          <w:tcPr>
            <w:tcW w:w="910"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56698.26</w:t>
            </w:r>
          </w:p>
        </w:tc>
        <w:tc>
          <w:tcPr>
            <w:tcW w:w="925"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58923.06</w:t>
            </w:r>
          </w:p>
        </w:tc>
        <w:tc>
          <w:tcPr>
            <w:tcW w:w="793" w:type="pct"/>
            <w:shd w:val="clear" w:color="auto" w:fill="auto"/>
            <w:noWrap/>
            <w:vAlign w:val="bottom"/>
          </w:tcPr>
          <w:p>
            <w:pPr>
              <w:widowControl/>
              <w:ind w:firstLine="0" w:firstLineChars="0"/>
              <w:jc w:val="right"/>
              <w:textAlignment w:val="bottom"/>
              <w:rPr>
                <w:rFonts w:ascii="宋体" w:hAnsi="宋体"/>
                <w:color w:val="000000"/>
                <w:kern w:val="0"/>
                <w:sz w:val="18"/>
              </w:rPr>
            </w:pPr>
            <w:r>
              <w:rPr>
                <w:rFonts w:hint="eastAsia" w:ascii="宋体" w:hAnsi="宋体" w:eastAsia="宋体" w:cs="Arial"/>
                <w:color w:val="000000"/>
                <w:kern w:val="0"/>
                <w:sz w:val="18"/>
                <w:szCs w:val="18"/>
                <w:lang w:bidi="ar"/>
              </w:rPr>
              <w:t>16.71</w:t>
            </w:r>
          </w:p>
        </w:tc>
        <w:tc>
          <w:tcPr>
            <w:tcW w:w="793" w:type="pct"/>
            <w:vAlign w:val="bottom"/>
          </w:tcPr>
          <w:p>
            <w:pPr>
              <w:widowControl/>
              <w:ind w:firstLine="0" w:firstLineChars="0"/>
              <w:jc w:val="right"/>
              <w:textAlignment w:val="bottom"/>
              <w:rPr>
                <w:rFonts w:ascii="宋体" w:hAnsi="宋体" w:eastAsia="宋体" w:cs="Arial"/>
                <w:color w:val="000000"/>
                <w:kern w:val="0"/>
                <w:sz w:val="18"/>
                <w:szCs w:val="18"/>
                <w:lang w:bidi="ar"/>
              </w:rPr>
            </w:pPr>
            <w:r>
              <w:rPr>
                <w:rFonts w:ascii="宋体" w:hAnsi="宋体" w:eastAsia="宋体" w:cs="Arial"/>
                <w:color w:val="000000"/>
                <w:kern w:val="0"/>
                <w:sz w:val="18"/>
                <w:szCs w:val="18"/>
                <w:lang w:bidi="ar"/>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79" w:type="pct"/>
            <w:shd w:val="clear" w:color="auto" w:fill="auto"/>
            <w:noWrap/>
            <w:vAlign w:val="bottom"/>
          </w:tcPr>
          <w:p>
            <w:pPr>
              <w:widowControl/>
              <w:ind w:firstLine="0" w:firstLineChars="0"/>
              <w:jc w:val="center"/>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华东地区</w:t>
            </w:r>
          </w:p>
        </w:tc>
        <w:tc>
          <w:tcPr>
            <w:tcW w:w="799"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2501</w:t>
            </w:r>
          </w:p>
        </w:tc>
        <w:tc>
          <w:tcPr>
            <w:tcW w:w="910"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109778.67</w:t>
            </w:r>
          </w:p>
        </w:tc>
        <w:tc>
          <w:tcPr>
            <w:tcW w:w="925"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112975.36</w:t>
            </w:r>
          </w:p>
        </w:tc>
        <w:tc>
          <w:tcPr>
            <w:tcW w:w="793" w:type="pct"/>
            <w:shd w:val="clear" w:color="auto" w:fill="auto"/>
            <w:noWrap/>
            <w:vAlign w:val="bottom"/>
          </w:tcPr>
          <w:p>
            <w:pPr>
              <w:widowControl/>
              <w:ind w:firstLine="0" w:firstLineChars="0"/>
              <w:jc w:val="right"/>
              <w:textAlignment w:val="bottom"/>
              <w:rPr>
                <w:rFonts w:ascii="宋体" w:hAnsi="宋体"/>
                <w:color w:val="000000"/>
                <w:kern w:val="0"/>
                <w:sz w:val="18"/>
              </w:rPr>
            </w:pPr>
            <w:r>
              <w:rPr>
                <w:rFonts w:hint="eastAsia" w:ascii="宋体" w:hAnsi="宋体" w:eastAsia="宋体" w:cs="Arial"/>
                <w:color w:val="000000"/>
                <w:kern w:val="0"/>
                <w:sz w:val="18"/>
                <w:szCs w:val="18"/>
                <w:lang w:bidi="ar"/>
              </w:rPr>
              <w:t>32.03</w:t>
            </w:r>
          </w:p>
        </w:tc>
        <w:tc>
          <w:tcPr>
            <w:tcW w:w="793" w:type="pct"/>
            <w:vAlign w:val="bottom"/>
          </w:tcPr>
          <w:p>
            <w:pPr>
              <w:widowControl/>
              <w:ind w:firstLine="0" w:firstLineChars="0"/>
              <w:jc w:val="right"/>
              <w:textAlignment w:val="bottom"/>
              <w:rPr>
                <w:rFonts w:ascii="宋体" w:hAnsi="宋体" w:eastAsia="宋体" w:cs="Arial"/>
                <w:color w:val="000000"/>
                <w:kern w:val="0"/>
                <w:sz w:val="18"/>
                <w:szCs w:val="18"/>
                <w:lang w:bidi="ar"/>
              </w:rPr>
            </w:pPr>
            <w:r>
              <w:rPr>
                <w:rFonts w:ascii="宋体" w:hAnsi="宋体" w:eastAsia="宋体" w:cs="Arial"/>
                <w:color w:val="000000"/>
                <w:kern w:val="0"/>
                <w:sz w:val="18"/>
                <w:szCs w:val="18"/>
                <w:lang w:bidi="ar"/>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79" w:type="pct"/>
            <w:shd w:val="clear" w:color="auto" w:fill="auto"/>
            <w:noWrap/>
            <w:vAlign w:val="bottom"/>
          </w:tcPr>
          <w:p>
            <w:pPr>
              <w:widowControl/>
              <w:ind w:firstLine="0" w:firstLineChars="0"/>
              <w:jc w:val="center"/>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西北地区</w:t>
            </w:r>
          </w:p>
        </w:tc>
        <w:tc>
          <w:tcPr>
            <w:tcW w:w="799"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198</w:t>
            </w:r>
          </w:p>
        </w:tc>
        <w:tc>
          <w:tcPr>
            <w:tcW w:w="910"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9145.49</w:t>
            </w:r>
          </w:p>
        </w:tc>
        <w:tc>
          <w:tcPr>
            <w:tcW w:w="925"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9351.37</w:t>
            </w:r>
          </w:p>
        </w:tc>
        <w:tc>
          <w:tcPr>
            <w:tcW w:w="793" w:type="pct"/>
            <w:shd w:val="clear" w:color="auto" w:fill="auto"/>
            <w:noWrap/>
            <w:vAlign w:val="bottom"/>
          </w:tcPr>
          <w:p>
            <w:pPr>
              <w:widowControl/>
              <w:ind w:firstLine="0" w:firstLineChars="0"/>
              <w:jc w:val="right"/>
              <w:textAlignment w:val="bottom"/>
              <w:rPr>
                <w:rFonts w:ascii="宋体" w:hAnsi="宋体"/>
                <w:color w:val="000000"/>
                <w:kern w:val="0"/>
                <w:sz w:val="18"/>
              </w:rPr>
            </w:pPr>
            <w:r>
              <w:rPr>
                <w:rFonts w:hint="eastAsia" w:ascii="宋体" w:hAnsi="宋体" w:eastAsia="宋体" w:cs="Arial"/>
                <w:color w:val="000000"/>
                <w:kern w:val="0"/>
                <w:sz w:val="18"/>
                <w:szCs w:val="18"/>
                <w:lang w:bidi="ar"/>
              </w:rPr>
              <w:t>2.65</w:t>
            </w:r>
          </w:p>
        </w:tc>
        <w:tc>
          <w:tcPr>
            <w:tcW w:w="793" w:type="pct"/>
            <w:vAlign w:val="bottom"/>
          </w:tcPr>
          <w:p>
            <w:pPr>
              <w:widowControl/>
              <w:ind w:firstLine="0" w:firstLineChars="0"/>
              <w:jc w:val="right"/>
              <w:textAlignment w:val="bottom"/>
              <w:rPr>
                <w:rFonts w:ascii="宋体" w:hAnsi="宋体" w:eastAsia="宋体" w:cs="Arial"/>
                <w:color w:val="000000"/>
                <w:kern w:val="0"/>
                <w:sz w:val="18"/>
                <w:szCs w:val="18"/>
                <w:lang w:bidi="ar"/>
              </w:rPr>
            </w:pPr>
            <w:r>
              <w:rPr>
                <w:rFonts w:ascii="宋体" w:hAnsi="宋体" w:eastAsia="宋体" w:cs="Arial"/>
                <w:color w:val="000000"/>
                <w:kern w:val="0"/>
                <w:sz w:val="18"/>
                <w:szCs w:val="18"/>
                <w:lang w:bidi="ar"/>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79" w:type="pct"/>
            <w:shd w:val="clear" w:color="auto" w:fill="auto"/>
            <w:noWrap/>
            <w:vAlign w:val="bottom"/>
          </w:tcPr>
          <w:p>
            <w:pPr>
              <w:widowControl/>
              <w:ind w:firstLine="0" w:firstLineChars="0"/>
              <w:jc w:val="center"/>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东北地区</w:t>
            </w:r>
          </w:p>
        </w:tc>
        <w:tc>
          <w:tcPr>
            <w:tcW w:w="799"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173</w:t>
            </w:r>
          </w:p>
        </w:tc>
        <w:tc>
          <w:tcPr>
            <w:tcW w:w="910"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7599.78</w:t>
            </w:r>
          </w:p>
        </w:tc>
        <w:tc>
          <w:tcPr>
            <w:tcW w:w="925"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7552.56</w:t>
            </w:r>
          </w:p>
        </w:tc>
        <w:tc>
          <w:tcPr>
            <w:tcW w:w="793" w:type="pct"/>
            <w:shd w:val="clear" w:color="auto" w:fill="auto"/>
            <w:noWrap/>
            <w:vAlign w:val="bottom"/>
          </w:tcPr>
          <w:p>
            <w:pPr>
              <w:widowControl/>
              <w:ind w:firstLine="0" w:firstLineChars="0"/>
              <w:jc w:val="right"/>
              <w:textAlignment w:val="bottom"/>
              <w:rPr>
                <w:rFonts w:ascii="宋体" w:hAnsi="宋体"/>
                <w:color w:val="000000"/>
                <w:kern w:val="0"/>
                <w:sz w:val="18"/>
              </w:rPr>
            </w:pPr>
            <w:r>
              <w:rPr>
                <w:rFonts w:hint="eastAsia" w:ascii="宋体" w:hAnsi="宋体" w:eastAsia="宋体" w:cs="Arial"/>
                <w:color w:val="000000"/>
                <w:kern w:val="0"/>
                <w:sz w:val="18"/>
                <w:szCs w:val="18"/>
                <w:lang w:bidi="ar"/>
              </w:rPr>
              <w:t>2.14</w:t>
            </w:r>
          </w:p>
        </w:tc>
        <w:tc>
          <w:tcPr>
            <w:tcW w:w="793" w:type="pct"/>
            <w:vAlign w:val="bottom"/>
          </w:tcPr>
          <w:p>
            <w:pPr>
              <w:widowControl/>
              <w:ind w:firstLine="0" w:firstLineChars="0"/>
              <w:jc w:val="right"/>
              <w:textAlignment w:val="bottom"/>
              <w:rPr>
                <w:rFonts w:ascii="宋体" w:hAnsi="宋体" w:eastAsia="宋体" w:cs="Arial"/>
                <w:color w:val="000000"/>
                <w:kern w:val="0"/>
                <w:sz w:val="18"/>
                <w:szCs w:val="18"/>
                <w:lang w:bidi="ar"/>
              </w:rPr>
            </w:pPr>
            <w:r>
              <w:rPr>
                <w:rFonts w:ascii="宋体" w:hAnsi="宋体" w:eastAsia="宋体" w:cs="Arial"/>
                <w:color w:val="000000"/>
                <w:kern w:val="0"/>
                <w:sz w:val="18"/>
                <w:szCs w:val="18"/>
                <w:lang w:bidi="ar"/>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79" w:type="pct"/>
            <w:shd w:val="clear" w:color="auto" w:fill="auto"/>
            <w:noWrap/>
            <w:vAlign w:val="bottom"/>
          </w:tcPr>
          <w:p>
            <w:pPr>
              <w:widowControl/>
              <w:ind w:firstLine="0" w:firstLineChars="0"/>
              <w:jc w:val="center"/>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华北地区</w:t>
            </w:r>
          </w:p>
        </w:tc>
        <w:tc>
          <w:tcPr>
            <w:tcW w:w="799"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786</w:t>
            </w:r>
          </w:p>
        </w:tc>
        <w:tc>
          <w:tcPr>
            <w:tcW w:w="910"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150517.73</w:t>
            </w:r>
          </w:p>
        </w:tc>
        <w:tc>
          <w:tcPr>
            <w:tcW w:w="925"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149574.94</w:t>
            </w:r>
          </w:p>
        </w:tc>
        <w:tc>
          <w:tcPr>
            <w:tcW w:w="793" w:type="pct"/>
            <w:shd w:val="clear" w:color="auto" w:fill="auto"/>
            <w:noWrap/>
            <w:vAlign w:val="bottom"/>
          </w:tcPr>
          <w:p>
            <w:pPr>
              <w:widowControl/>
              <w:ind w:firstLine="0" w:firstLineChars="0"/>
              <w:jc w:val="right"/>
              <w:textAlignment w:val="bottom"/>
              <w:rPr>
                <w:rFonts w:ascii="宋体" w:hAnsi="宋体"/>
                <w:color w:val="000000"/>
                <w:kern w:val="0"/>
                <w:sz w:val="18"/>
              </w:rPr>
            </w:pPr>
            <w:r>
              <w:rPr>
                <w:rFonts w:hint="eastAsia" w:ascii="宋体" w:hAnsi="宋体" w:eastAsia="宋体" w:cs="Arial"/>
                <w:color w:val="000000"/>
                <w:kern w:val="0"/>
                <w:sz w:val="18"/>
                <w:szCs w:val="18"/>
                <w:lang w:bidi="ar"/>
              </w:rPr>
              <w:t>42.40</w:t>
            </w:r>
          </w:p>
        </w:tc>
        <w:tc>
          <w:tcPr>
            <w:tcW w:w="793" w:type="pct"/>
            <w:vAlign w:val="bottom"/>
          </w:tcPr>
          <w:p>
            <w:pPr>
              <w:widowControl/>
              <w:ind w:firstLine="0" w:firstLineChars="0"/>
              <w:jc w:val="right"/>
              <w:textAlignment w:val="bottom"/>
              <w:rPr>
                <w:rFonts w:ascii="宋体" w:hAnsi="宋体" w:eastAsia="宋体" w:cs="Arial"/>
                <w:color w:val="000000"/>
                <w:kern w:val="0"/>
                <w:sz w:val="18"/>
                <w:szCs w:val="18"/>
                <w:lang w:bidi="ar"/>
              </w:rPr>
            </w:pPr>
            <w:r>
              <w:rPr>
                <w:rFonts w:ascii="宋体" w:hAnsi="宋体" w:eastAsia="宋体" w:cs="Arial"/>
                <w:color w:val="000000"/>
                <w:kern w:val="0"/>
                <w:sz w:val="18"/>
                <w:szCs w:val="18"/>
                <w:lang w:bidi="ar"/>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79" w:type="pct"/>
            <w:shd w:val="clear" w:color="auto" w:fill="auto"/>
            <w:noWrap/>
            <w:vAlign w:val="bottom"/>
          </w:tcPr>
          <w:p>
            <w:pPr>
              <w:widowControl/>
              <w:ind w:firstLine="0" w:firstLineChars="0"/>
              <w:jc w:val="center"/>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总计</w:t>
            </w:r>
          </w:p>
        </w:tc>
        <w:tc>
          <w:tcPr>
            <w:tcW w:w="799"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5195</w:t>
            </w:r>
          </w:p>
        </w:tc>
        <w:tc>
          <w:tcPr>
            <w:tcW w:w="910"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347106.31</w:t>
            </w:r>
          </w:p>
        </w:tc>
        <w:tc>
          <w:tcPr>
            <w:tcW w:w="925" w:type="pct"/>
            <w:shd w:val="clear" w:color="auto" w:fill="auto"/>
            <w:noWrap/>
            <w:vAlign w:val="bottom"/>
          </w:tcPr>
          <w:p>
            <w:pPr>
              <w:widowControl/>
              <w:ind w:firstLine="0" w:firstLineChars="0"/>
              <w:jc w:val="right"/>
              <w:textAlignment w:val="bottom"/>
              <w:rPr>
                <w:rFonts w:ascii="宋体" w:hAnsi="宋体" w:eastAsia="宋体" w:cs="Arial"/>
                <w:color w:val="000000"/>
                <w:sz w:val="18"/>
                <w:szCs w:val="18"/>
              </w:rPr>
            </w:pPr>
            <w:r>
              <w:rPr>
                <w:rFonts w:ascii="宋体" w:hAnsi="宋体" w:eastAsia="宋体" w:cs="Arial"/>
                <w:color w:val="000000"/>
                <w:kern w:val="0"/>
                <w:sz w:val="18"/>
                <w:szCs w:val="18"/>
                <w:lang w:bidi="ar"/>
              </w:rPr>
              <w:t>352719.66</w:t>
            </w:r>
          </w:p>
        </w:tc>
        <w:tc>
          <w:tcPr>
            <w:tcW w:w="793" w:type="pct"/>
            <w:shd w:val="clear" w:color="auto" w:fill="auto"/>
            <w:noWrap/>
            <w:vAlign w:val="bottom"/>
          </w:tcPr>
          <w:p>
            <w:pPr>
              <w:widowControl/>
              <w:ind w:firstLine="0" w:firstLineChars="0"/>
              <w:jc w:val="right"/>
              <w:textAlignment w:val="bottom"/>
              <w:rPr>
                <w:rFonts w:ascii="宋体" w:hAnsi="宋体"/>
                <w:color w:val="000000"/>
                <w:kern w:val="0"/>
                <w:sz w:val="18"/>
              </w:rPr>
            </w:pPr>
            <w:r>
              <w:rPr>
                <w:rFonts w:hint="eastAsia" w:ascii="宋体" w:hAnsi="宋体" w:eastAsia="宋体" w:cs="Arial"/>
                <w:color w:val="000000"/>
                <w:kern w:val="0"/>
                <w:sz w:val="18"/>
                <w:szCs w:val="18"/>
                <w:lang w:bidi="ar"/>
              </w:rPr>
              <w:t>100.00</w:t>
            </w:r>
          </w:p>
        </w:tc>
        <w:tc>
          <w:tcPr>
            <w:tcW w:w="793" w:type="pct"/>
            <w:vAlign w:val="bottom"/>
          </w:tcPr>
          <w:p>
            <w:pPr>
              <w:widowControl/>
              <w:ind w:firstLine="0" w:firstLineChars="0"/>
              <w:jc w:val="right"/>
              <w:textAlignment w:val="bottom"/>
              <w:rPr>
                <w:rFonts w:ascii="宋体" w:hAnsi="宋体" w:eastAsia="宋体" w:cs="Arial"/>
                <w:color w:val="000000"/>
                <w:kern w:val="0"/>
                <w:sz w:val="18"/>
                <w:szCs w:val="18"/>
                <w:lang w:bidi="ar"/>
              </w:rPr>
            </w:pPr>
            <w:r>
              <w:rPr>
                <w:rFonts w:ascii="宋体" w:hAnsi="宋体" w:eastAsia="宋体" w:cs="Arial"/>
                <w:color w:val="000000"/>
                <w:kern w:val="0"/>
                <w:sz w:val="18"/>
                <w:szCs w:val="18"/>
                <w:lang w:bidi="ar"/>
              </w:rPr>
              <w:t>1.62%</w:t>
            </w:r>
          </w:p>
        </w:tc>
      </w:tr>
    </w:tbl>
    <w:p>
      <w:pPr>
        <w:pStyle w:val="44"/>
      </w:pPr>
      <w:r>
        <w:t>数据来源：Choice、易董研究所整理</w:t>
      </w:r>
    </w:p>
    <w:p>
      <w:pPr>
        <w:rPr>
          <w:rFonts w:ascii="宋体" w:hAnsi="宋体" w:eastAsia="宋体" w:cstheme="majorHAnsi"/>
        </w:rPr>
      </w:pPr>
      <w:r>
        <w:rPr>
          <w:rFonts w:ascii="宋体" w:hAnsi="宋体" w:eastAsia="宋体" w:cstheme="majorHAnsi"/>
        </w:rPr>
        <w:t>其中，西南地区</w:t>
      </w:r>
      <w:r>
        <w:rPr>
          <w:rFonts w:hint="eastAsia" w:ascii="宋体" w:hAnsi="宋体" w:eastAsia="宋体" w:cstheme="majorHAnsi"/>
        </w:rPr>
        <w:t>，</w:t>
      </w:r>
      <w:r>
        <w:rPr>
          <w:rFonts w:ascii="宋体" w:hAnsi="宋体" w:eastAsia="宋体" w:cstheme="majorHAnsi"/>
        </w:rPr>
        <w:t>四川省与贵州省营收同比增长超10%。四川省2023年上半年营业收入为6,095.62亿元，同比增长13.17%，增长幅度排第一；贵州省营业收入为1,567.38亿元，同比增长11.19%，增长幅度排第二。四川省营业收入按行业排序，前五依次为：电力设备、食品饮料、农林牧渔、建筑装饰、家用电器，其中电力设备行业上市公司数量为8家，营业收入占比17.95%。</w:t>
      </w:r>
    </w:p>
    <w:p>
      <w:pPr>
        <w:rPr>
          <w:rFonts w:ascii="宋体" w:hAnsi="宋体" w:eastAsia="宋体" w:cstheme="majorHAnsi"/>
        </w:rPr>
      </w:pPr>
      <w:r>
        <w:rPr>
          <w:rFonts w:ascii="宋体" w:hAnsi="宋体" w:eastAsia="宋体" w:cstheme="majorHAnsi"/>
        </w:rPr>
        <w:t>华南地区值得关注的是海南省，上半年实现扭亏为盈。2023年上半年营业收入966.45亿元，同比增长47.43%；上半年实现净利润11.56亿元，较上半年同期亏损-111.57亿元，实现扭亏为盈。从宏观上看，海南自由贸易港RCEP企业服务中心的成立，不断激发外贸主体活力，促进外贸外资发展。其中，海南机场2023年上半年净利润为5.83亿元，同比增长807.55%；钧达股份净利润为5.83亿元，同比增长250.23%。从发展规划上来看，海南省要加快政策转化，放大政策效力，持续打造消费新热点。</w:t>
      </w:r>
    </w:p>
    <w:p>
      <w:pPr>
        <w:pStyle w:val="4"/>
      </w:pPr>
      <w:bookmarkStart w:id="192" w:name="_Toc148969284"/>
      <w:bookmarkStart w:id="193" w:name="_Toc147675145"/>
      <w:r>
        <w:rPr>
          <w:rFonts w:hint="eastAsia"/>
        </w:rPr>
        <w:t>退市格局常态化，优胜劣汰机制加速形成</w:t>
      </w:r>
      <w:bookmarkEnd w:id="190"/>
      <w:bookmarkEnd w:id="191"/>
      <w:bookmarkEnd w:id="192"/>
      <w:bookmarkEnd w:id="193"/>
    </w:p>
    <w:p>
      <w:pPr>
        <w:ind w:firstLine="422"/>
        <w:jc w:val="left"/>
        <w:rPr>
          <w:rFonts w:ascii="宋体" w:hAnsi="宋体" w:eastAsia="宋体" w:cstheme="majorHAnsi"/>
        </w:rPr>
      </w:pPr>
      <w:r>
        <w:rPr>
          <w:rFonts w:ascii="宋体" w:hAnsi="宋体" w:eastAsia="宋体" w:cstheme="majorHAnsi"/>
          <w:b/>
          <w:bCs/>
        </w:rPr>
        <w:t>2023年，A股全面注册制正式实施，在退市新规的深化改革下，常态化退市机制进一步巩固</w:t>
      </w:r>
      <w:r>
        <w:rPr>
          <w:rFonts w:hint="eastAsia" w:ascii="宋体" w:hAnsi="宋体" w:eastAsia="宋体" w:cstheme="majorHAnsi"/>
          <w:b/>
          <w:bCs/>
        </w:rPr>
        <w:t>。</w:t>
      </w:r>
      <w:r>
        <w:rPr>
          <w:rFonts w:ascii="宋体" w:hAnsi="宋体" w:eastAsia="宋体" w:cstheme="majorHAnsi"/>
        </w:rPr>
        <w:t>根据数据统计，2023年上半年共有16家（不包含吸收合并）上市公司退市，其中，沪主板10家、深主板4家、创业板2家。随着注册制进一步发展，在有关监管部门的引导下，上市公司的退市数量明显增加，退市效率不断提升，我国资本市场“有进有退，能进能出”的良好生态正在加速构建，有利于资源优化配置，助力实体经济发展。</w:t>
      </w:r>
    </w:p>
    <w:p>
      <w:pPr>
        <w:rPr>
          <w:rFonts w:ascii="宋体" w:hAnsi="宋体" w:eastAsia="宋体" w:cstheme="majorHAnsi"/>
        </w:rPr>
      </w:pPr>
      <w:r>
        <w:rPr>
          <w:rFonts w:ascii="宋体" w:hAnsi="宋体" w:eastAsia="宋体" w:cstheme="majorHAnsi"/>
        </w:rPr>
        <w:drawing>
          <wp:inline distT="0" distB="0" distL="0" distR="0">
            <wp:extent cx="4572000" cy="2743200"/>
            <wp:effectExtent l="0" t="0" r="0" b="0"/>
            <wp:docPr id="1970717074" name="图表 19707170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7"/>
        <w:rPr>
          <w:rFonts w:ascii="宋体" w:hAnsi="宋体"/>
        </w:rPr>
      </w:pPr>
      <w:r>
        <w:rPr>
          <w:rFonts w:ascii="宋体" w:hAnsi="宋体"/>
        </w:rPr>
        <w:t xml:space="preserve">图 </w:t>
      </w:r>
      <w:r>
        <w:rPr>
          <w:rFonts w:ascii="宋体" w:hAnsi="宋体"/>
        </w:rPr>
        <w:fldChar w:fldCharType="begin"/>
      </w:r>
      <w:r>
        <w:rPr>
          <w:rFonts w:ascii="宋体" w:hAnsi="宋体"/>
        </w:rPr>
        <w:instrText xml:space="preserve"> SEQ 图 \* ARABIC </w:instrText>
      </w:r>
      <w:r>
        <w:rPr>
          <w:rFonts w:ascii="宋体" w:hAnsi="宋体"/>
        </w:rPr>
        <w:fldChar w:fldCharType="separate"/>
      </w:r>
      <w:r>
        <w:rPr>
          <w:rFonts w:ascii="宋体" w:hAnsi="宋体"/>
        </w:rPr>
        <w:t>1</w:t>
      </w:r>
      <w:r>
        <w:rPr>
          <w:rFonts w:ascii="宋体" w:hAnsi="宋体"/>
        </w:rPr>
        <w:fldChar w:fldCharType="end"/>
      </w:r>
      <w:r>
        <w:rPr>
          <w:rFonts w:ascii="宋体" w:hAnsi="宋体"/>
        </w:rPr>
        <w:t xml:space="preserve"> 2017-2023年A股上市公司退市情况</w:t>
      </w:r>
    </w:p>
    <w:p>
      <w:pPr>
        <w:pStyle w:val="44"/>
        <w:rPr>
          <w:rFonts w:ascii="宋体" w:hAnsi="宋体"/>
        </w:rPr>
      </w:pPr>
      <w:r>
        <w:rPr>
          <w:rFonts w:ascii="宋体" w:hAnsi="宋体"/>
        </w:rPr>
        <w:t>注：统计区间为2023年1月1日-2023年6月30日</w:t>
      </w:r>
    </w:p>
    <w:p>
      <w:pPr>
        <w:pStyle w:val="44"/>
        <w:rPr>
          <w:rFonts w:ascii="宋体" w:hAnsi="宋体"/>
        </w:rPr>
      </w:pPr>
      <w:r>
        <w:rPr>
          <w:rFonts w:ascii="宋体" w:hAnsi="宋体"/>
        </w:rPr>
        <w:t>数据来源：Choice、易董研究所整理</w:t>
      </w:r>
    </w:p>
    <w:p>
      <w:pPr>
        <w:rPr>
          <w:rFonts w:ascii="宋体" w:hAnsi="宋体" w:eastAsia="宋体" w:cstheme="majorHAnsi"/>
        </w:rPr>
      </w:pPr>
      <w:r>
        <w:rPr>
          <w:rFonts w:ascii="宋体" w:hAnsi="宋体" w:eastAsia="宋体" w:cstheme="majorHAnsi"/>
        </w:rPr>
        <w:t>截至2023年6月30日，A股风险警示板共有150家上市公司，其中ST股有72家，*ST股有62家，剩余16家处于退市整理期。ST股合计营业收入为814.97亿元，同比下降17.01%，净利润为-41.15亿元，相比于2022年亏损减少，但仍处于亏损状态；*ST股合计营业收入为332.94亿元，同比下降28.25%，净利润为-152.32亿元，同比下降19.23%。</w:t>
      </w:r>
    </w:p>
    <w:p>
      <w:pPr>
        <w:pStyle w:val="7"/>
        <w:rPr>
          <w:rFonts w:ascii="宋体" w:hAnsi="宋体"/>
        </w:rPr>
      </w:pPr>
      <w:r>
        <w:rPr>
          <w:rFonts w:ascii="宋体" w:hAnsi="宋体"/>
        </w:rPr>
        <w:t>表 14  ST和*ST上市公司经营情况</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069"/>
        <w:gridCol w:w="1275"/>
        <w:gridCol w:w="1193"/>
        <w:gridCol w:w="1057"/>
        <w:gridCol w:w="1213"/>
        <w:gridCol w:w="1153"/>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4" w:type="pct"/>
            <w:tcBorders>
              <w:top w:val="single" w:color="auto" w:sz="4" w:space="0"/>
              <w:left w:val="single" w:color="auto" w:sz="4" w:space="0"/>
              <w:bottom w:val="single" w:color="auto" w:sz="4" w:space="0"/>
              <w:right w:val="single" w:color="auto" w:sz="4" w:space="0"/>
            </w:tcBorders>
            <w:shd w:val="clear" w:color="auto" w:fill="E7E6E6"/>
            <w:noWrap/>
            <w:vAlign w:val="center"/>
          </w:tcPr>
          <w:p>
            <w:pPr>
              <w:ind w:firstLine="0" w:firstLineChars="0"/>
              <w:jc w:val="center"/>
              <w:rPr>
                <w:rFonts w:ascii="宋体" w:hAnsi="宋体" w:eastAsia="宋体" w:cs="Times New Roman"/>
                <w:b/>
                <w:bCs/>
                <w:sz w:val="18"/>
                <w:szCs w:val="18"/>
              </w:rPr>
            </w:pPr>
            <w:r>
              <w:rPr>
                <w:rFonts w:hint="eastAsia" w:ascii="宋体" w:hAnsi="宋体" w:eastAsia="宋体" w:cs="Times New Roman"/>
                <w:b/>
                <w:bCs/>
                <w:sz w:val="18"/>
                <w:szCs w:val="18"/>
                <w:lang w:bidi="ar"/>
              </w:rPr>
              <w:t>所属类型</w:t>
            </w:r>
          </w:p>
        </w:tc>
        <w:tc>
          <w:tcPr>
            <w:tcW w:w="627" w:type="pct"/>
            <w:tcBorders>
              <w:top w:val="single" w:color="auto" w:sz="4" w:space="0"/>
              <w:left w:val="nil"/>
              <w:bottom w:val="single" w:color="auto" w:sz="4" w:space="0"/>
              <w:right w:val="single" w:color="auto" w:sz="4" w:space="0"/>
            </w:tcBorders>
            <w:shd w:val="clear" w:color="auto" w:fill="E7E6E6"/>
            <w:noWrap/>
            <w:vAlign w:val="center"/>
          </w:tcPr>
          <w:p>
            <w:pPr>
              <w:ind w:firstLine="0" w:firstLineChars="0"/>
              <w:jc w:val="center"/>
              <w:rPr>
                <w:rFonts w:ascii="宋体" w:hAnsi="宋体" w:eastAsia="宋体" w:cs="Times New Roman"/>
                <w:b/>
                <w:bCs/>
                <w:sz w:val="18"/>
                <w:szCs w:val="18"/>
              </w:rPr>
            </w:pPr>
            <w:r>
              <w:rPr>
                <w:rFonts w:hint="eastAsia" w:ascii="宋体" w:hAnsi="宋体" w:eastAsia="宋体" w:cs="Times New Roman"/>
                <w:b/>
                <w:bCs/>
                <w:sz w:val="18"/>
                <w:szCs w:val="18"/>
                <w:lang w:bidi="ar"/>
              </w:rPr>
              <w:t>上市公司数量（家）</w:t>
            </w:r>
          </w:p>
        </w:tc>
        <w:tc>
          <w:tcPr>
            <w:tcW w:w="747" w:type="pct"/>
            <w:tcBorders>
              <w:top w:val="single" w:color="auto" w:sz="4" w:space="0"/>
              <w:left w:val="nil"/>
              <w:bottom w:val="single" w:color="auto" w:sz="4" w:space="0"/>
              <w:right w:val="single" w:color="auto" w:sz="4" w:space="0"/>
            </w:tcBorders>
            <w:shd w:val="clear" w:color="auto" w:fill="E7E6E6"/>
            <w:noWrap/>
            <w:vAlign w:val="center"/>
          </w:tcPr>
          <w:p>
            <w:pPr>
              <w:ind w:firstLine="0" w:firstLineChars="0"/>
              <w:jc w:val="center"/>
              <w:rPr>
                <w:rFonts w:ascii="宋体" w:hAnsi="宋体" w:eastAsia="宋体" w:cs="Times New Roman"/>
                <w:b/>
                <w:bCs/>
                <w:sz w:val="18"/>
                <w:szCs w:val="18"/>
              </w:rPr>
            </w:pPr>
            <w:r>
              <w:rPr>
                <w:rFonts w:hint="eastAsia" w:ascii="宋体" w:hAnsi="宋体" w:eastAsia="宋体" w:cs="Times New Roman"/>
                <w:b/>
                <w:bCs/>
                <w:sz w:val="18"/>
                <w:szCs w:val="18"/>
                <w:lang w:bidi="ar"/>
              </w:rPr>
              <w:t>2022</w:t>
            </w:r>
            <w:r>
              <w:rPr>
                <w:rFonts w:hint="eastAsia" w:ascii="宋体" w:hAnsi="宋体" w:eastAsia="宋体" w:cs="宋体"/>
                <w:b/>
                <w:bCs/>
                <w:sz w:val="18"/>
                <w:szCs w:val="18"/>
                <w:lang w:bidi="ar"/>
              </w:rPr>
              <w:t>年半年度</w:t>
            </w:r>
            <w:r>
              <w:rPr>
                <w:rFonts w:hint="eastAsia" w:ascii="宋体" w:hAnsi="宋体" w:eastAsia="宋体" w:cs="Times New Roman"/>
                <w:b/>
                <w:bCs/>
                <w:sz w:val="18"/>
                <w:szCs w:val="18"/>
                <w:lang w:bidi="ar"/>
              </w:rPr>
              <w:t>营业收入（亿元）</w:t>
            </w:r>
          </w:p>
        </w:tc>
        <w:tc>
          <w:tcPr>
            <w:tcW w:w="699" w:type="pct"/>
            <w:tcBorders>
              <w:top w:val="single" w:color="auto" w:sz="4" w:space="0"/>
              <w:left w:val="nil"/>
              <w:bottom w:val="single" w:color="auto" w:sz="4" w:space="0"/>
              <w:right w:val="single" w:color="auto" w:sz="4" w:space="0"/>
            </w:tcBorders>
            <w:shd w:val="clear" w:color="auto" w:fill="E7E6E6"/>
            <w:noWrap/>
            <w:vAlign w:val="center"/>
          </w:tcPr>
          <w:p>
            <w:pPr>
              <w:ind w:firstLine="0" w:firstLineChars="0"/>
              <w:jc w:val="center"/>
              <w:rPr>
                <w:rFonts w:ascii="宋体" w:hAnsi="宋体" w:eastAsia="宋体" w:cs="Times New Roman"/>
                <w:b/>
                <w:bCs/>
                <w:sz w:val="18"/>
                <w:szCs w:val="18"/>
              </w:rPr>
            </w:pPr>
            <w:r>
              <w:rPr>
                <w:rFonts w:hint="eastAsia" w:ascii="宋体" w:hAnsi="宋体" w:eastAsia="宋体" w:cs="Times New Roman"/>
                <w:b/>
                <w:bCs/>
                <w:sz w:val="18"/>
                <w:szCs w:val="18"/>
                <w:lang w:bidi="ar"/>
              </w:rPr>
              <w:t>2023</w:t>
            </w:r>
            <w:r>
              <w:rPr>
                <w:rFonts w:hint="eastAsia" w:ascii="宋体" w:hAnsi="宋体" w:eastAsia="宋体" w:cs="宋体"/>
                <w:b/>
                <w:bCs/>
                <w:sz w:val="18"/>
                <w:szCs w:val="18"/>
                <w:lang w:bidi="ar"/>
              </w:rPr>
              <w:t>年半年度</w:t>
            </w:r>
            <w:r>
              <w:rPr>
                <w:rFonts w:hint="eastAsia" w:ascii="宋体" w:hAnsi="宋体" w:eastAsia="宋体" w:cs="Times New Roman"/>
                <w:b/>
                <w:bCs/>
                <w:sz w:val="18"/>
                <w:szCs w:val="18"/>
                <w:lang w:bidi="ar"/>
              </w:rPr>
              <w:t>营业收入（亿元）</w:t>
            </w:r>
          </w:p>
        </w:tc>
        <w:tc>
          <w:tcPr>
            <w:tcW w:w="620" w:type="pct"/>
            <w:tcBorders>
              <w:top w:val="single" w:color="auto" w:sz="4" w:space="0"/>
              <w:left w:val="nil"/>
              <w:bottom w:val="single" w:color="auto" w:sz="4" w:space="0"/>
              <w:right w:val="single" w:color="auto" w:sz="4" w:space="0"/>
            </w:tcBorders>
            <w:shd w:val="clear" w:color="auto" w:fill="E7E6E6"/>
            <w:noWrap/>
            <w:vAlign w:val="center"/>
          </w:tcPr>
          <w:p>
            <w:pPr>
              <w:ind w:firstLine="0" w:firstLineChars="0"/>
              <w:jc w:val="center"/>
              <w:rPr>
                <w:rFonts w:ascii="宋体" w:hAnsi="宋体" w:eastAsia="宋体" w:cs="Times New Roman"/>
                <w:b/>
                <w:bCs/>
                <w:sz w:val="18"/>
                <w:szCs w:val="18"/>
              </w:rPr>
            </w:pPr>
            <w:r>
              <w:rPr>
                <w:rFonts w:hint="eastAsia" w:ascii="宋体" w:hAnsi="宋体" w:eastAsia="宋体" w:cs="Times New Roman"/>
                <w:b/>
                <w:bCs/>
                <w:sz w:val="18"/>
                <w:szCs w:val="18"/>
                <w:lang w:bidi="ar"/>
              </w:rPr>
              <w:t>同比变化</w:t>
            </w:r>
          </w:p>
        </w:tc>
        <w:tc>
          <w:tcPr>
            <w:tcW w:w="711" w:type="pct"/>
            <w:tcBorders>
              <w:top w:val="single" w:color="auto" w:sz="4" w:space="0"/>
              <w:left w:val="nil"/>
              <w:bottom w:val="single" w:color="auto" w:sz="4" w:space="0"/>
              <w:right w:val="single" w:color="auto" w:sz="4" w:space="0"/>
            </w:tcBorders>
            <w:shd w:val="clear" w:color="auto" w:fill="E7E6E6"/>
            <w:noWrap/>
            <w:vAlign w:val="center"/>
          </w:tcPr>
          <w:p>
            <w:pPr>
              <w:ind w:firstLine="0" w:firstLineChars="0"/>
              <w:jc w:val="center"/>
              <w:rPr>
                <w:rFonts w:ascii="宋体" w:hAnsi="宋体" w:eastAsia="宋体" w:cs="Times New Roman"/>
                <w:b/>
                <w:bCs/>
                <w:sz w:val="18"/>
                <w:szCs w:val="18"/>
              </w:rPr>
            </w:pPr>
            <w:r>
              <w:rPr>
                <w:rFonts w:hint="eastAsia" w:ascii="宋体" w:hAnsi="宋体" w:eastAsia="宋体" w:cs="Times New Roman"/>
                <w:b/>
                <w:bCs/>
                <w:sz w:val="18"/>
                <w:szCs w:val="18"/>
                <w:lang w:bidi="ar"/>
              </w:rPr>
              <w:t>2022年半年度</w:t>
            </w:r>
          </w:p>
          <w:p>
            <w:pPr>
              <w:ind w:firstLine="0" w:firstLineChars="0"/>
              <w:jc w:val="center"/>
              <w:rPr>
                <w:rFonts w:ascii="宋体" w:hAnsi="宋体" w:eastAsia="宋体" w:cs="Times New Roman"/>
                <w:b/>
                <w:bCs/>
                <w:sz w:val="18"/>
                <w:szCs w:val="18"/>
              </w:rPr>
            </w:pPr>
            <w:r>
              <w:rPr>
                <w:rFonts w:hint="eastAsia" w:ascii="宋体" w:hAnsi="宋体" w:eastAsia="宋体" w:cs="Times New Roman"/>
                <w:b/>
                <w:bCs/>
                <w:sz w:val="18"/>
                <w:szCs w:val="18"/>
                <w:lang w:bidi="ar"/>
              </w:rPr>
              <w:t>净利润（亿元）</w:t>
            </w:r>
          </w:p>
        </w:tc>
        <w:tc>
          <w:tcPr>
            <w:tcW w:w="675" w:type="pct"/>
            <w:tcBorders>
              <w:top w:val="single" w:color="auto" w:sz="4" w:space="0"/>
              <w:left w:val="nil"/>
              <w:bottom w:val="single" w:color="auto" w:sz="4" w:space="0"/>
              <w:right w:val="single" w:color="auto" w:sz="4" w:space="0"/>
            </w:tcBorders>
            <w:shd w:val="clear" w:color="auto" w:fill="E7E6E6"/>
            <w:noWrap/>
            <w:vAlign w:val="center"/>
          </w:tcPr>
          <w:p>
            <w:pPr>
              <w:ind w:firstLine="0" w:firstLineChars="0"/>
              <w:jc w:val="center"/>
              <w:rPr>
                <w:rFonts w:ascii="宋体" w:hAnsi="宋体" w:eastAsia="宋体" w:cs="Times New Roman"/>
                <w:b/>
                <w:bCs/>
                <w:sz w:val="18"/>
                <w:szCs w:val="18"/>
              </w:rPr>
            </w:pPr>
            <w:r>
              <w:rPr>
                <w:rFonts w:hint="eastAsia" w:ascii="宋体" w:hAnsi="宋体" w:eastAsia="宋体" w:cs="Times New Roman"/>
                <w:b/>
                <w:bCs/>
                <w:sz w:val="18"/>
                <w:szCs w:val="18"/>
                <w:lang w:bidi="ar"/>
              </w:rPr>
              <w:t>2023年半年度</w:t>
            </w:r>
          </w:p>
          <w:p>
            <w:pPr>
              <w:ind w:firstLine="0" w:firstLineChars="0"/>
              <w:jc w:val="center"/>
              <w:rPr>
                <w:rFonts w:ascii="宋体" w:hAnsi="宋体" w:eastAsia="宋体" w:cs="Times New Roman"/>
                <w:b/>
                <w:bCs/>
                <w:sz w:val="18"/>
                <w:szCs w:val="18"/>
              </w:rPr>
            </w:pPr>
            <w:r>
              <w:rPr>
                <w:rFonts w:hint="eastAsia" w:ascii="宋体" w:hAnsi="宋体" w:eastAsia="宋体" w:cs="Times New Roman"/>
                <w:b/>
                <w:bCs/>
                <w:sz w:val="18"/>
                <w:szCs w:val="18"/>
                <w:lang w:bidi="ar"/>
              </w:rPr>
              <w:t>净利润（亿元）</w:t>
            </w:r>
          </w:p>
        </w:tc>
        <w:tc>
          <w:tcPr>
            <w:tcW w:w="553" w:type="pct"/>
            <w:tcBorders>
              <w:top w:val="single" w:color="auto" w:sz="4" w:space="0"/>
              <w:left w:val="nil"/>
              <w:bottom w:val="single" w:color="auto" w:sz="4" w:space="0"/>
              <w:right w:val="single" w:color="auto" w:sz="4" w:space="0"/>
            </w:tcBorders>
            <w:shd w:val="clear" w:color="auto" w:fill="E7E6E6"/>
            <w:noWrap/>
            <w:vAlign w:val="center"/>
          </w:tcPr>
          <w:p>
            <w:pPr>
              <w:ind w:firstLine="0" w:firstLineChars="0"/>
              <w:jc w:val="center"/>
              <w:rPr>
                <w:rFonts w:ascii="宋体" w:hAnsi="宋体" w:eastAsia="宋体" w:cs="Times New Roman"/>
                <w:b/>
                <w:bCs/>
                <w:sz w:val="18"/>
                <w:szCs w:val="18"/>
              </w:rPr>
            </w:pPr>
            <w:r>
              <w:rPr>
                <w:rFonts w:hint="eastAsia" w:ascii="宋体" w:hAnsi="宋体" w:eastAsia="宋体" w:cs="Times New Roman"/>
                <w:b/>
                <w:bCs/>
                <w:sz w:val="18"/>
                <w:szCs w:val="18"/>
                <w:lang w:bidi="ar"/>
              </w:rPr>
              <w:t>同比变化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4" w:type="pct"/>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Cs w:val="21"/>
                <w:lang w:bidi="ar"/>
              </w:rPr>
              <w:t>ST</w:t>
            </w:r>
          </w:p>
        </w:tc>
        <w:tc>
          <w:tcPr>
            <w:tcW w:w="627"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 w:val="18"/>
                <w:szCs w:val="18"/>
                <w:lang w:bidi="ar"/>
              </w:rPr>
              <w:t>72</w:t>
            </w:r>
          </w:p>
        </w:tc>
        <w:tc>
          <w:tcPr>
            <w:tcW w:w="747"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 w:val="18"/>
                <w:szCs w:val="18"/>
                <w:lang w:bidi="ar"/>
              </w:rPr>
              <w:t>981.98</w:t>
            </w:r>
          </w:p>
        </w:tc>
        <w:tc>
          <w:tcPr>
            <w:tcW w:w="699"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 w:val="18"/>
                <w:szCs w:val="18"/>
                <w:lang w:bidi="ar"/>
              </w:rPr>
              <w:t>814.97</w:t>
            </w:r>
          </w:p>
        </w:tc>
        <w:tc>
          <w:tcPr>
            <w:tcW w:w="620"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 w:val="18"/>
                <w:szCs w:val="18"/>
                <w:lang w:bidi="ar"/>
              </w:rPr>
              <w:t>-17.01%</w:t>
            </w:r>
          </w:p>
        </w:tc>
        <w:tc>
          <w:tcPr>
            <w:tcW w:w="711"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 w:val="18"/>
                <w:szCs w:val="18"/>
                <w:lang w:bidi="ar"/>
              </w:rPr>
              <w:t>-50.26</w:t>
            </w:r>
          </w:p>
        </w:tc>
        <w:tc>
          <w:tcPr>
            <w:tcW w:w="675"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 w:val="18"/>
                <w:szCs w:val="18"/>
                <w:lang w:bidi="ar"/>
              </w:rPr>
              <w:t>-41.15</w:t>
            </w:r>
          </w:p>
        </w:tc>
        <w:tc>
          <w:tcPr>
            <w:tcW w:w="553"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 w:val="18"/>
                <w:szCs w:val="18"/>
                <w:lang w:bidi="ar"/>
              </w:rPr>
              <w:t>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4" w:type="pct"/>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Cs w:val="21"/>
                <w:lang w:bidi="ar"/>
              </w:rPr>
              <w:t>*ST</w:t>
            </w:r>
          </w:p>
        </w:tc>
        <w:tc>
          <w:tcPr>
            <w:tcW w:w="627"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 w:val="18"/>
                <w:szCs w:val="18"/>
                <w:lang w:bidi="ar"/>
              </w:rPr>
              <w:t>62</w:t>
            </w:r>
          </w:p>
        </w:tc>
        <w:tc>
          <w:tcPr>
            <w:tcW w:w="747"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 w:val="18"/>
                <w:szCs w:val="18"/>
                <w:lang w:bidi="ar"/>
              </w:rPr>
              <w:t>464.06</w:t>
            </w:r>
          </w:p>
        </w:tc>
        <w:tc>
          <w:tcPr>
            <w:tcW w:w="699"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 w:val="18"/>
                <w:szCs w:val="18"/>
                <w:lang w:bidi="ar"/>
              </w:rPr>
              <w:t>332.94</w:t>
            </w:r>
          </w:p>
        </w:tc>
        <w:tc>
          <w:tcPr>
            <w:tcW w:w="620"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 w:val="18"/>
                <w:szCs w:val="18"/>
                <w:lang w:bidi="ar"/>
              </w:rPr>
              <w:t>-28.25%</w:t>
            </w:r>
          </w:p>
        </w:tc>
        <w:tc>
          <w:tcPr>
            <w:tcW w:w="711"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 w:val="18"/>
                <w:szCs w:val="18"/>
                <w:lang w:bidi="ar"/>
              </w:rPr>
              <w:t>-127.75</w:t>
            </w:r>
          </w:p>
        </w:tc>
        <w:tc>
          <w:tcPr>
            <w:tcW w:w="675"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hint="eastAsia" w:ascii="宋体" w:hAnsi="宋体" w:eastAsia="宋体" w:cs="Times New Roman"/>
                <w:sz w:val="18"/>
                <w:szCs w:val="18"/>
                <w:lang w:bidi="ar"/>
              </w:rPr>
              <w:t>-152.32</w:t>
            </w:r>
          </w:p>
        </w:tc>
        <w:tc>
          <w:tcPr>
            <w:tcW w:w="553" w:type="pct"/>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宋体" w:hAnsi="宋体" w:eastAsia="宋体" w:cs="Times New Roman"/>
                <w:sz w:val="18"/>
                <w:szCs w:val="18"/>
              </w:rPr>
            </w:pPr>
            <w:r>
              <w:rPr>
                <w:rFonts w:ascii="宋体" w:hAnsi="宋体" w:eastAsia="宋体" w:cs="Times New Roman"/>
                <w:sz w:val="18"/>
                <w:szCs w:val="18"/>
                <w:lang w:bidi="ar"/>
              </w:rPr>
              <w:t>-</w:t>
            </w:r>
            <w:r>
              <w:rPr>
                <w:rFonts w:hint="eastAsia" w:ascii="宋体" w:hAnsi="宋体" w:eastAsia="宋体" w:cs="Times New Roman"/>
                <w:sz w:val="18"/>
                <w:szCs w:val="18"/>
                <w:lang w:bidi="ar"/>
              </w:rPr>
              <w:t>19.23%</w:t>
            </w:r>
          </w:p>
        </w:tc>
      </w:tr>
    </w:tbl>
    <w:p>
      <w:pPr>
        <w:ind w:firstLine="0" w:firstLineChars="0"/>
        <w:jc w:val="left"/>
        <w:rPr>
          <w:rFonts w:ascii="宋体" w:hAnsi="宋体" w:eastAsia="宋体"/>
          <w:sz w:val="18"/>
          <w:szCs w:val="18"/>
        </w:rPr>
      </w:pPr>
      <w:r>
        <w:rPr>
          <w:rFonts w:ascii="宋体" w:hAnsi="宋体" w:eastAsia="宋体"/>
          <w:sz w:val="18"/>
          <w:szCs w:val="18"/>
        </w:rPr>
        <w:t>数据来源：Choice、易董研究所整理</w:t>
      </w:r>
    </w:p>
    <w:p>
      <w:pPr>
        <w:ind w:firstLine="422"/>
        <w:rPr>
          <w:rFonts w:ascii="宋体" w:hAnsi="宋体" w:eastAsia="宋体" w:cstheme="majorHAnsi"/>
        </w:rPr>
      </w:pPr>
      <w:r>
        <w:rPr>
          <w:rFonts w:ascii="宋体" w:hAnsi="宋体" w:eastAsia="宋体" w:cstheme="majorHAnsi"/>
          <w:b/>
          <w:bCs/>
        </w:rPr>
        <w:t>面值退市数量持续增长，投资者需加强警惕。</w:t>
      </w:r>
      <w:r>
        <w:rPr>
          <w:rFonts w:ascii="宋体" w:hAnsi="宋体" w:eastAsia="宋体" w:cstheme="majorHAnsi"/>
        </w:rPr>
        <w:t>从行业分布来看，退市公司数量最多的5个行业分别为传媒、医药生物、房地产、非银金融、计算机和商贸零售，均有2家上市公司被强制退市。传媒、非银金融、医药生物2022年退市的上市公司数量也位列前3位。从退市原因来看，有6家上市公司因触及财务类强制退市指标被终止上市，9家上市公司连续20个交易日的每日收盘价均低于人民币1元，属于交易类强制退市，占比超过一半，只有计通退1家上市公司属于重大违法退市。相比于2022年，“1元退市”正逐渐成为当前数量最多的退市形式，投资者应保持警惕，谨防退市风险。</w:t>
      </w:r>
    </w:p>
    <w:p>
      <w:pPr>
        <w:pStyle w:val="7"/>
        <w:rPr>
          <w:rFonts w:ascii="宋体" w:hAnsi="宋体"/>
        </w:rPr>
      </w:pPr>
      <w:r>
        <w:rPr>
          <w:rFonts w:ascii="宋体" w:hAnsi="宋体"/>
        </w:rPr>
        <w:t xml:space="preserve">表 </w:t>
      </w:r>
      <w:r>
        <w:rPr>
          <w:rFonts w:ascii="宋体" w:hAnsi="宋体"/>
        </w:rPr>
        <w:fldChar w:fldCharType="begin"/>
      </w:r>
      <w:r>
        <w:rPr>
          <w:rFonts w:ascii="宋体" w:hAnsi="宋体"/>
        </w:rPr>
        <w:instrText xml:space="preserve"> SEQ 表 \* ARABIC </w:instrText>
      </w:r>
      <w:r>
        <w:rPr>
          <w:rFonts w:ascii="宋体" w:hAnsi="宋体"/>
        </w:rPr>
        <w:fldChar w:fldCharType="separate"/>
      </w:r>
      <w:r>
        <w:rPr>
          <w:rFonts w:ascii="宋体" w:hAnsi="宋体"/>
        </w:rPr>
        <w:t>9</w:t>
      </w:r>
      <w:r>
        <w:rPr>
          <w:rFonts w:ascii="宋体" w:hAnsi="宋体"/>
        </w:rPr>
        <w:fldChar w:fldCharType="end"/>
      </w:r>
      <w:r>
        <w:rPr>
          <w:rFonts w:ascii="宋体" w:hAnsi="宋体"/>
        </w:rPr>
        <w:t xml:space="preserve">  A股上市公司各类型退市数量统计</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7" w:type="pct"/>
            <w:shd w:val="clear" w:color="auto" w:fill="E7E6E6" w:themeFill="background2"/>
            <w:noWrap/>
            <w:vAlign w:val="center"/>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退市类型</w:t>
            </w:r>
          </w:p>
        </w:tc>
        <w:tc>
          <w:tcPr>
            <w:tcW w:w="1667" w:type="pct"/>
            <w:shd w:val="clear" w:color="auto" w:fill="E7E6E6" w:themeFill="background2"/>
            <w:noWrap/>
            <w:vAlign w:val="center"/>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2022年上市公司退市数量（家）</w:t>
            </w:r>
          </w:p>
        </w:tc>
        <w:tc>
          <w:tcPr>
            <w:tcW w:w="1667" w:type="pct"/>
            <w:shd w:val="clear" w:color="auto" w:fill="E7E6E6" w:themeFill="background2"/>
            <w:noWrap/>
            <w:vAlign w:val="center"/>
          </w:tcPr>
          <w:p>
            <w:pPr>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2023年上市公司退市数量（家）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7" w:type="pct"/>
            <w:noWrap/>
          </w:tcPr>
          <w:p>
            <w:pPr>
              <w:ind w:firstLine="0" w:firstLineChars="0"/>
              <w:jc w:val="center"/>
              <w:rPr>
                <w:rFonts w:ascii="宋体" w:hAnsi="宋体" w:eastAsia="宋体" w:cstheme="majorHAnsi"/>
                <w:sz w:val="18"/>
                <w:szCs w:val="18"/>
              </w:rPr>
            </w:pPr>
            <w:r>
              <w:rPr>
                <w:rFonts w:ascii="宋体" w:hAnsi="宋体" w:eastAsia="宋体" w:cstheme="majorHAnsi"/>
                <w:sz w:val="18"/>
                <w:szCs w:val="18"/>
              </w:rPr>
              <w:t>财务类</w:t>
            </w:r>
          </w:p>
        </w:tc>
        <w:tc>
          <w:tcPr>
            <w:tcW w:w="1667" w:type="pct"/>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37</w:t>
            </w:r>
          </w:p>
        </w:tc>
        <w:tc>
          <w:tcPr>
            <w:tcW w:w="1667" w:type="pct"/>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7" w:type="pct"/>
            <w:noWrap/>
          </w:tcPr>
          <w:p>
            <w:pPr>
              <w:ind w:firstLine="0" w:firstLineChars="0"/>
              <w:jc w:val="center"/>
              <w:rPr>
                <w:rFonts w:ascii="宋体" w:hAnsi="宋体" w:eastAsia="宋体" w:cstheme="majorHAnsi"/>
                <w:sz w:val="18"/>
                <w:szCs w:val="18"/>
              </w:rPr>
            </w:pPr>
            <w:r>
              <w:rPr>
                <w:rFonts w:ascii="宋体" w:hAnsi="宋体" w:eastAsia="宋体" w:cstheme="majorHAnsi"/>
                <w:sz w:val="18"/>
                <w:szCs w:val="18"/>
              </w:rPr>
              <w:t>交易类</w:t>
            </w:r>
          </w:p>
        </w:tc>
        <w:tc>
          <w:tcPr>
            <w:tcW w:w="1667" w:type="pct"/>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w:t>
            </w:r>
          </w:p>
        </w:tc>
        <w:tc>
          <w:tcPr>
            <w:tcW w:w="1667" w:type="pct"/>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7" w:type="pct"/>
            <w:noWrap/>
          </w:tcPr>
          <w:p>
            <w:pPr>
              <w:ind w:firstLine="0" w:firstLineChars="0"/>
              <w:jc w:val="center"/>
              <w:rPr>
                <w:rFonts w:ascii="宋体" w:hAnsi="宋体" w:eastAsia="宋体" w:cstheme="majorHAnsi"/>
                <w:sz w:val="18"/>
                <w:szCs w:val="18"/>
              </w:rPr>
            </w:pPr>
            <w:r>
              <w:rPr>
                <w:rFonts w:ascii="宋体" w:hAnsi="宋体" w:eastAsia="宋体" w:cstheme="majorHAnsi"/>
                <w:sz w:val="18"/>
                <w:szCs w:val="18"/>
              </w:rPr>
              <w:t>规范类</w:t>
            </w:r>
          </w:p>
        </w:tc>
        <w:tc>
          <w:tcPr>
            <w:tcW w:w="1667" w:type="pct"/>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3</w:t>
            </w:r>
          </w:p>
        </w:tc>
        <w:tc>
          <w:tcPr>
            <w:tcW w:w="1667" w:type="pct"/>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7" w:type="pct"/>
            <w:noWrap/>
          </w:tcPr>
          <w:p>
            <w:pPr>
              <w:ind w:firstLine="0" w:firstLineChars="0"/>
              <w:jc w:val="center"/>
              <w:rPr>
                <w:rFonts w:ascii="宋体" w:hAnsi="宋体" w:eastAsia="宋体" w:cstheme="majorHAnsi"/>
                <w:sz w:val="18"/>
                <w:szCs w:val="18"/>
              </w:rPr>
            </w:pPr>
            <w:r>
              <w:rPr>
                <w:rFonts w:ascii="宋体" w:hAnsi="宋体" w:eastAsia="宋体" w:cstheme="majorHAnsi"/>
                <w:sz w:val="18"/>
                <w:szCs w:val="18"/>
              </w:rPr>
              <w:t>重大违法类</w:t>
            </w:r>
          </w:p>
        </w:tc>
        <w:tc>
          <w:tcPr>
            <w:tcW w:w="1667" w:type="pct"/>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w:t>
            </w:r>
          </w:p>
        </w:tc>
        <w:tc>
          <w:tcPr>
            <w:tcW w:w="1667" w:type="pct"/>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7" w:type="pct"/>
            <w:noWrap/>
          </w:tcPr>
          <w:p>
            <w:pPr>
              <w:ind w:firstLine="0" w:firstLineChars="0"/>
              <w:jc w:val="center"/>
              <w:rPr>
                <w:rFonts w:ascii="宋体" w:hAnsi="宋体" w:eastAsia="宋体" w:cstheme="majorHAnsi"/>
                <w:sz w:val="18"/>
                <w:szCs w:val="18"/>
              </w:rPr>
            </w:pPr>
            <w:r>
              <w:rPr>
                <w:rFonts w:ascii="宋体" w:hAnsi="宋体" w:eastAsia="宋体" w:cstheme="majorHAnsi"/>
                <w:b/>
                <w:bCs/>
                <w:sz w:val="18"/>
                <w:szCs w:val="18"/>
              </w:rPr>
              <w:t>合计</w:t>
            </w:r>
          </w:p>
        </w:tc>
        <w:tc>
          <w:tcPr>
            <w:tcW w:w="1667" w:type="pct"/>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42</w:t>
            </w:r>
          </w:p>
        </w:tc>
        <w:tc>
          <w:tcPr>
            <w:tcW w:w="1667" w:type="pct"/>
            <w:noWrap/>
          </w:tcPr>
          <w:p>
            <w:pPr>
              <w:ind w:firstLine="0" w:firstLineChars="0"/>
              <w:jc w:val="right"/>
              <w:rPr>
                <w:rFonts w:ascii="宋体" w:hAnsi="宋体" w:eastAsia="宋体" w:cstheme="majorHAnsi"/>
                <w:sz w:val="18"/>
                <w:szCs w:val="18"/>
              </w:rPr>
            </w:pPr>
            <w:r>
              <w:rPr>
                <w:rFonts w:ascii="宋体" w:hAnsi="宋体" w:eastAsia="宋体" w:cstheme="majorHAnsi"/>
                <w:sz w:val="18"/>
                <w:szCs w:val="18"/>
              </w:rPr>
              <w:t>16</w:t>
            </w:r>
          </w:p>
        </w:tc>
      </w:tr>
    </w:tbl>
    <w:p>
      <w:pPr>
        <w:pStyle w:val="44"/>
        <w:rPr>
          <w:rFonts w:ascii="宋体" w:hAnsi="宋体"/>
        </w:rPr>
      </w:pPr>
      <w:r>
        <w:rPr>
          <w:rFonts w:ascii="宋体" w:hAnsi="宋体"/>
        </w:rPr>
        <w:t>注：统计区间为2023年1月1日-2023年6月30日</w:t>
      </w:r>
    </w:p>
    <w:p>
      <w:pPr>
        <w:pStyle w:val="44"/>
        <w:rPr>
          <w:rFonts w:ascii="宋体" w:hAnsi="宋体"/>
        </w:rPr>
      </w:pPr>
      <w:r>
        <w:rPr>
          <w:rFonts w:ascii="宋体" w:hAnsi="宋体"/>
        </w:rPr>
        <w:t>数据来源：Choice、易董研究所整理</w:t>
      </w:r>
    </w:p>
    <w:p>
      <w:pPr>
        <w:pStyle w:val="44"/>
        <w:ind w:firstLine="424" w:firstLineChars="201"/>
        <w:rPr>
          <w:rFonts w:ascii="宋体" w:hAnsi="宋体"/>
          <w:sz w:val="21"/>
          <w:szCs w:val="21"/>
        </w:rPr>
      </w:pPr>
      <w:r>
        <w:rPr>
          <w:rFonts w:hint="eastAsia" w:ascii="宋体" w:hAnsi="宋体"/>
          <w:b/>
          <w:bCs/>
          <w:sz w:val="21"/>
          <w:szCs w:val="21"/>
        </w:rPr>
        <w:t>低价股综合质量偏低，</w:t>
      </w:r>
      <w:r>
        <w:rPr>
          <w:rFonts w:ascii="宋体" w:hAnsi="宋体"/>
          <w:b/>
          <w:bCs/>
          <w:sz w:val="21"/>
          <w:szCs w:val="21"/>
        </w:rPr>
        <w:t>2</w:t>
      </w:r>
      <w:r>
        <w:rPr>
          <w:rFonts w:hint="eastAsia" w:ascii="宋体" w:hAnsi="宋体"/>
          <w:b/>
          <w:bCs/>
          <w:sz w:val="21"/>
          <w:szCs w:val="21"/>
        </w:rPr>
        <w:t>元以下上市公司持续亏损。</w:t>
      </w:r>
      <w:r>
        <w:rPr>
          <w:rFonts w:ascii="宋体" w:hAnsi="宋体"/>
          <w:sz w:val="21"/>
          <w:szCs w:val="21"/>
        </w:rPr>
        <w:t>2023年上半年，区间收盘价低于5元的共有763家上市公司，数量占比为14.69%</w:t>
      </w:r>
      <w:r>
        <w:rPr>
          <w:rFonts w:hint="eastAsia" w:ascii="宋体" w:hAnsi="宋体"/>
          <w:sz w:val="21"/>
          <w:szCs w:val="21"/>
        </w:rPr>
        <w:t>。</w:t>
      </w:r>
      <w:r>
        <w:rPr>
          <w:rFonts w:ascii="宋体" w:hAnsi="宋体"/>
          <w:sz w:val="21"/>
          <w:szCs w:val="21"/>
        </w:rPr>
        <w:t>其中0-1元有1家，4-5元上市公司数量最多，为280家。</w:t>
      </w:r>
      <w:r>
        <w:rPr>
          <w:rFonts w:hint="eastAsia" w:ascii="宋体" w:hAnsi="宋体"/>
          <w:sz w:val="21"/>
          <w:szCs w:val="21"/>
        </w:rPr>
        <w:t>整体上看，低价股数量随价格降低逐渐减少，超低价股占比为少数。从创收创利情况来看，</w:t>
      </w:r>
      <w:r>
        <w:rPr>
          <w:rFonts w:ascii="宋体" w:hAnsi="宋体"/>
          <w:sz w:val="21"/>
          <w:szCs w:val="21"/>
        </w:rPr>
        <w:t>0-1元</w:t>
      </w:r>
      <w:r>
        <w:rPr>
          <w:rFonts w:hint="eastAsia" w:ascii="宋体" w:hAnsi="宋体"/>
          <w:sz w:val="21"/>
          <w:szCs w:val="21"/>
        </w:rPr>
        <w:t>上市公司（</w:t>
      </w:r>
      <w:r>
        <w:rPr>
          <w:rFonts w:ascii="宋体" w:hAnsi="宋体"/>
          <w:sz w:val="21"/>
          <w:szCs w:val="21"/>
        </w:rPr>
        <w:t>1家</w:t>
      </w:r>
      <w:r>
        <w:rPr>
          <w:rFonts w:hint="eastAsia" w:ascii="宋体" w:hAnsi="宋体"/>
          <w:sz w:val="21"/>
          <w:szCs w:val="21"/>
        </w:rPr>
        <w:t>），净利润亏损4</w:t>
      </w:r>
      <w:r>
        <w:rPr>
          <w:rFonts w:ascii="宋体" w:hAnsi="宋体"/>
          <w:sz w:val="21"/>
          <w:szCs w:val="21"/>
        </w:rPr>
        <w:t>2</w:t>
      </w:r>
      <w:r>
        <w:rPr>
          <w:rFonts w:hint="eastAsia" w:ascii="宋体" w:hAnsi="宋体"/>
          <w:sz w:val="21"/>
          <w:szCs w:val="21"/>
        </w:rPr>
        <w:t>亿，1</w:t>
      </w:r>
      <w:r>
        <w:rPr>
          <w:rFonts w:ascii="宋体" w:hAnsi="宋体"/>
          <w:sz w:val="21"/>
          <w:szCs w:val="21"/>
        </w:rPr>
        <w:t>-2</w:t>
      </w:r>
      <w:r>
        <w:rPr>
          <w:rFonts w:hint="eastAsia" w:ascii="宋体" w:hAnsi="宋体"/>
          <w:sz w:val="21"/>
          <w:szCs w:val="21"/>
        </w:rPr>
        <w:t>元上市公司共（5</w:t>
      </w:r>
      <w:r>
        <w:rPr>
          <w:rFonts w:ascii="宋体" w:hAnsi="宋体"/>
          <w:sz w:val="21"/>
          <w:szCs w:val="21"/>
        </w:rPr>
        <w:t>8</w:t>
      </w:r>
      <w:r>
        <w:rPr>
          <w:rFonts w:hint="eastAsia" w:ascii="宋体" w:hAnsi="宋体"/>
          <w:sz w:val="21"/>
          <w:szCs w:val="21"/>
        </w:rPr>
        <w:t>家），净利润亏损合计2</w:t>
      </w:r>
      <w:r>
        <w:rPr>
          <w:rFonts w:ascii="宋体" w:hAnsi="宋体"/>
          <w:sz w:val="21"/>
          <w:szCs w:val="21"/>
        </w:rPr>
        <w:t>.28</w:t>
      </w:r>
      <w:r>
        <w:rPr>
          <w:rFonts w:hint="eastAsia" w:ascii="宋体" w:hAnsi="宋体"/>
          <w:sz w:val="21"/>
          <w:szCs w:val="21"/>
        </w:rPr>
        <w:t>亿，</w:t>
      </w:r>
      <w:r>
        <w:rPr>
          <w:rFonts w:ascii="宋体" w:hAnsi="宋体"/>
          <w:sz w:val="21"/>
          <w:szCs w:val="21"/>
        </w:rPr>
        <w:t>2</w:t>
      </w:r>
      <w:r>
        <w:rPr>
          <w:rFonts w:hint="eastAsia" w:ascii="宋体" w:hAnsi="宋体"/>
          <w:sz w:val="21"/>
          <w:szCs w:val="21"/>
        </w:rPr>
        <w:t>元以上上市公司（7</w:t>
      </w:r>
      <w:r>
        <w:rPr>
          <w:rFonts w:ascii="宋体" w:hAnsi="宋体"/>
          <w:sz w:val="21"/>
          <w:szCs w:val="21"/>
        </w:rPr>
        <w:t>04</w:t>
      </w:r>
      <w:r>
        <w:rPr>
          <w:rFonts w:hint="eastAsia" w:ascii="宋体" w:hAnsi="宋体"/>
          <w:sz w:val="21"/>
          <w:szCs w:val="21"/>
        </w:rPr>
        <w:t>家）,整体创利</w:t>
      </w:r>
      <w:r>
        <w:rPr>
          <w:rFonts w:ascii="宋体" w:hAnsi="宋体"/>
          <w:sz w:val="21"/>
          <w:szCs w:val="21"/>
        </w:rPr>
        <w:t>25.14</w:t>
      </w:r>
      <w:r>
        <w:rPr>
          <w:rFonts w:hint="eastAsia" w:ascii="宋体" w:hAnsi="宋体"/>
          <w:sz w:val="21"/>
          <w:szCs w:val="21"/>
        </w:rPr>
        <w:t>亿，但同比呈下滑趋势，其中2</w:t>
      </w:r>
      <w:r>
        <w:rPr>
          <w:rFonts w:ascii="宋体" w:hAnsi="宋体"/>
          <w:sz w:val="21"/>
          <w:szCs w:val="21"/>
        </w:rPr>
        <w:t>-3</w:t>
      </w:r>
      <w:r>
        <w:rPr>
          <w:rFonts w:hint="eastAsia" w:ascii="宋体" w:hAnsi="宋体"/>
          <w:sz w:val="21"/>
          <w:szCs w:val="21"/>
        </w:rPr>
        <w:t>元、3</w:t>
      </w:r>
      <w:r>
        <w:rPr>
          <w:rFonts w:ascii="宋体" w:hAnsi="宋体"/>
          <w:sz w:val="21"/>
          <w:szCs w:val="21"/>
        </w:rPr>
        <w:t>-4</w:t>
      </w:r>
      <w:r>
        <w:rPr>
          <w:rFonts w:hint="eastAsia" w:ascii="宋体" w:hAnsi="宋体"/>
          <w:sz w:val="21"/>
          <w:szCs w:val="21"/>
        </w:rPr>
        <w:t>元、4</w:t>
      </w:r>
      <w:r>
        <w:rPr>
          <w:rFonts w:ascii="宋体" w:hAnsi="宋体"/>
          <w:sz w:val="21"/>
          <w:szCs w:val="21"/>
        </w:rPr>
        <w:t>-5</w:t>
      </w:r>
      <w:r>
        <w:rPr>
          <w:rFonts w:hint="eastAsia" w:ascii="宋体" w:hAnsi="宋体"/>
          <w:sz w:val="21"/>
          <w:szCs w:val="21"/>
        </w:rPr>
        <w:t>元上市公司净利同比下滑幅度分别为-</w:t>
      </w:r>
      <w:r>
        <w:rPr>
          <w:rFonts w:ascii="宋体" w:hAnsi="宋体"/>
          <w:sz w:val="21"/>
          <w:szCs w:val="21"/>
        </w:rPr>
        <w:t>25.33%</w:t>
      </w:r>
      <w:r>
        <w:rPr>
          <w:rFonts w:hint="eastAsia" w:ascii="宋体" w:hAnsi="宋体"/>
          <w:sz w:val="21"/>
          <w:szCs w:val="21"/>
        </w:rPr>
        <w:t>、-</w:t>
      </w:r>
      <w:r>
        <w:rPr>
          <w:rFonts w:ascii="宋体" w:hAnsi="宋体"/>
          <w:sz w:val="21"/>
          <w:szCs w:val="21"/>
        </w:rPr>
        <w:t>0.55%</w:t>
      </w:r>
      <w:r>
        <w:rPr>
          <w:rFonts w:hint="eastAsia" w:ascii="宋体" w:hAnsi="宋体"/>
          <w:sz w:val="21"/>
          <w:szCs w:val="21"/>
        </w:rPr>
        <w:t>、-</w:t>
      </w:r>
      <w:r>
        <w:rPr>
          <w:rFonts w:ascii="宋体" w:hAnsi="宋体"/>
          <w:sz w:val="21"/>
          <w:szCs w:val="21"/>
        </w:rPr>
        <w:t>0.62%</w:t>
      </w:r>
      <w:r>
        <w:rPr>
          <w:rFonts w:hint="eastAsia" w:ascii="宋体" w:hAnsi="宋体"/>
          <w:sz w:val="21"/>
          <w:szCs w:val="21"/>
        </w:rPr>
        <w:t>，上半年低价股整体经营质量依然不足。</w:t>
      </w:r>
      <w:r>
        <w:rPr>
          <w:rFonts w:ascii="宋体" w:hAnsi="宋体"/>
          <w:sz w:val="21"/>
          <w:szCs w:val="21"/>
        </w:rPr>
        <w:t>在面值退市逐渐成为A股市场退市主流的情况下，</w:t>
      </w:r>
      <w:r>
        <w:rPr>
          <w:rFonts w:hint="eastAsia" w:ascii="宋体" w:hAnsi="宋体"/>
          <w:sz w:val="21"/>
          <w:szCs w:val="21"/>
        </w:rPr>
        <w:t>低价股的发展前景存在一定的不确定性，</w:t>
      </w:r>
      <w:r>
        <w:rPr>
          <w:rFonts w:ascii="宋体" w:hAnsi="宋体"/>
          <w:sz w:val="21"/>
          <w:szCs w:val="21"/>
        </w:rPr>
        <w:t>投资者需要持续关注股价变化，采取多样化的投资组合，分散风险。</w:t>
      </w:r>
    </w:p>
    <w:p>
      <w:pPr>
        <w:pStyle w:val="7"/>
      </w:pPr>
      <w:r>
        <w:rPr>
          <w:rFonts w:ascii="宋体" w:hAnsi="宋体"/>
        </w:rPr>
        <w:t xml:space="preserve">表 </w:t>
      </w:r>
      <w:r>
        <w:rPr>
          <w:rFonts w:ascii="宋体" w:hAnsi="宋体"/>
        </w:rPr>
        <w:fldChar w:fldCharType="begin"/>
      </w:r>
      <w:r>
        <w:rPr>
          <w:rFonts w:ascii="宋体" w:hAnsi="宋体"/>
        </w:rPr>
        <w:instrText xml:space="preserve"> SEQ 表 \* ARABIC </w:instrText>
      </w:r>
      <w:r>
        <w:rPr>
          <w:rFonts w:ascii="宋体" w:hAnsi="宋体"/>
        </w:rPr>
        <w:fldChar w:fldCharType="separate"/>
      </w:r>
      <w:r>
        <w:rPr>
          <w:rFonts w:ascii="宋体" w:hAnsi="宋体"/>
        </w:rPr>
        <w:t>10</w:t>
      </w:r>
      <w:r>
        <w:rPr>
          <w:rFonts w:ascii="宋体" w:hAnsi="宋体"/>
        </w:rPr>
        <w:fldChar w:fldCharType="end"/>
      </w:r>
      <w:r>
        <w:rPr>
          <w:rFonts w:ascii="宋体" w:hAnsi="宋体"/>
        </w:rPr>
        <w:t xml:space="preserve"> 5元以下低价股上市公司经营情况</w:t>
      </w:r>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991"/>
        <w:gridCol w:w="1126"/>
        <w:gridCol w:w="1123"/>
        <w:gridCol w:w="950"/>
        <w:gridCol w:w="1133"/>
        <w:gridCol w:w="1133"/>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9" w:type="dxa"/>
            <w:shd w:val="clear" w:color="auto" w:fill="E7E6E6" w:themeFill="background2"/>
            <w:noWrap/>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区间收盘价（元）</w:t>
            </w:r>
          </w:p>
        </w:tc>
        <w:tc>
          <w:tcPr>
            <w:tcW w:w="991" w:type="dxa"/>
            <w:shd w:val="clear" w:color="auto" w:fill="E7E6E6" w:themeFill="background2"/>
            <w:noWrap/>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上市公司数量（家）</w:t>
            </w:r>
          </w:p>
        </w:tc>
        <w:tc>
          <w:tcPr>
            <w:tcW w:w="1126" w:type="dxa"/>
            <w:shd w:val="clear" w:color="auto" w:fill="E7E6E6" w:themeFill="background2"/>
            <w:noWrap/>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2022年半年度平均营业收入（亿元）</w:t>
            </w:r>
          </w:p>
        </w:tc>
        <w:tc>
          <w:tcPr>
            <w:tcW w:w="1123" w:type="dxa"/>
            <w:shd w:val="clear" w:color="auto" w:fill="E7E6E6" w:themeFill="background2"/>
            <w:noWrap/>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2023年半年度平均营业收入（亿元）</w:t>
            </w:r>
          </w:p>
        </w:tc>
        <w:tc>
          <w:tcPr>
            <w:tcW w:w="950" w:type="dxa"/>
            <w:shd w:val="clear" w:color="auto" w:fill="E7E6E6" w:themeFill="background2"/>
            <w:noWrap/>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同比变化</w:t>
            </w:r>
          </w:p>
        </w:tc>
        <w:tc>
          <w:tcPr>
            <w:tcW w:w="1133" w:type="dxa"/>
            <w:shd w:val="clear" w:color="auto" w:fill="E7E6E6" w:themeFill="background2"/>
            <w:noWrap/>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2022年半年度平均净利润（亿元）</w:t>
            </w:r>
          </w:p>
        </w:tc>
        <w:tc>
          <w:tcPr>
            <w:tcW w:w="1133" w:type="dxa"/>
            <w:shd w:val="clear" w:color="auto" w:fill="E7E6E6" w:themeFill="background2"/>
            <w:noWrap/>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2023年半年度平均净利润（亿元）</w:t>
            </w:r>
          </w:p>
        </w:tc>
        <w:tc>
          <w:tcPr>
            <w:tcW w:w="1034" w:type="dxa"/>
            <w:shd w:val="clear" w:color="auto" w:fill="E7E6E6" w:themeFill="background2"/>
            <w:noWrap/>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同比变化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9"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0-1</w:t>
            </w:r>
          </w:p>
        </w:tc>
        <w:tc>
          <w:tcPr>
            <w:tcW w:w="991"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w:t>
            </w:r>
          </w:p>
        </w:tc>
        <w:tc>
          <w:tcPr>
            <w:tcW w:w="1126"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13.08</w:t>
            </w:r>
          </w:p>
        </w:tc>
        <w:tc>
          <w:tcPr>
            <w:tcW w:w="112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20.56</w:t>
            </w:r>
          </w:p>
        </w:tc>
        <w:tc>
          <w:tcPr>
            <w:tcW w:w="950"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57.19%</w:t>
            </w:r>
          </w:p>
        </w:tc>
        <w:tc>
          <w:tcPr>
            <w:tcW w:w="113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-20.86</w:t>
            </w:r>
          </w:p>
        </w:tc>
        <w:tc>
          <w:tcPr>
            <w:tcW w:w="113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-42.02</w:t>
            </w:r>
          </w:p>
        </w:tc>
        <w:tc>
          <w:tcPr>
            <w:tcW w:w="1034"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9"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1-2</w:t>
            </w:r>
          </w:p>
        </w:tc>
        <w:tc>
          <w:tcPr>
            <w:tcW w:w="991"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58</w:t>
            </w:r>
          </w:p>
        </w:tc>
        <w:tc>
          <w:tcPr>
            <w:tcW w:w="1126"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68.44</w:t>
            </w:r>
          </w:p>
        </w:tc>
        <w:tc>
          <w:tcPr>
            <w:tcW w:w="112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68.14</w:t>
            </w:r>
          </w:p>
        </w:tc>
        <w:tc>
          <w:tcPr>
            <w:tcW w:w="950"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-0.44%</w:t>
            </w:r>
          </w:p>
        </w:tc>
        <w:tc>
          <w:tcPr>
            <w:tcW w:w="113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-4.08</w:t>
            </w:r>
          </w:p>
        </w:tc>
        <w:tc>
          <w:tcPr>
            <w:tcW w:w="113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-2.28</w:t>
            </w:r>
          </w:p>
        </w:tc>
        <w:tc>
          <w:tcPr>
            <w:tcW w:w="1034"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9"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2-3</w:t>
            </w:r>
          </w:p>
        </w:tc>
        <w:tc>
          <w:tcPr>
            <w:tcW w:w="991"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183</w:t>
            </w:r>
          </w:p>
        </w:tc>
        <w:tc>
          <w:tcPr>
            <w:tcW w:w="1126"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77.72</w:t>
            </w:r>
          </w:p>
        </w:tc>
        <w:tc>
          <w:tcPr>
            <w:tcW w:w="112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76.59</w:t>
            </w:r>
          </w:p>
        </w:tc>
        <w:tc>
          <w:tcPr>
            <w:tcW w:w="950"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-1.45%</w:t>
            </w:r>
          </w:p>
        </w:tc>
        <w:tc>
          <w:tcPr>
            <w:tcW w:w="113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1.50</w:t>
            </w:r>
          </w:p>
        </w:tc>
        <w:tc>
          <w:tcPr>
            <w:tcW w:w="113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1.12</w:t>
            </w:r>
          </w:p>
        </w:tc>
        <w:tc>
          <w:tcPr>
            <w:tcW w:w="1034"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9"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3-4</w:t>
            </w:r>
          </w:p>
        </w:tc>
        <w:tc>
          <w:tcPr>
            <w:tcW w:w="991"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241</w:t>
            </w:r>
          </w:p>
        </w:tc>
        <w:tc>
          <w:tcPr>
            <w:tcW w:w="1126"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98.09</w:t>
            </w:r>
          </w:p>
        </w:tc>
        <w:tc>
          <w:tcPr>
            <w:tcW w:w="112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98.72</w:t>
            </w:r>
          </w:p>
        </w:tc>
        <w:tc>
          <w:tcPr>
            <w:tcW w:w="950"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0.64%</w:t>
            </w:r>
          </w:p>
        </w:tc>
        <w:tc>
          <w:tcPr>
            <w:tcW w:w="113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14.43</w:t>
            </w:r>
          </w:p>
        </w:tc>
        <w:tc>
          <w:tcPr>
            <w:tcW w:w="113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14.35</w:t>
            </w:r>
          </w:p>
        </w:tc>
        <w:tc>
          <w:tcPr>
            <w:tcW w:w="1034"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9"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4-5</w:t>
            </w:r>
          </w:p>
        </w:tc>
        <w:tc>
          <w:tcPr>
            <w:tcW w:w="991"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280</w:t>
            </w:r>
          </w:p>
        </w:tc>
        <w:tc>
          <w:tcPr>
            <w:tcW w:w="1126"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87.33</w:t>
            </w:r>
          </w:p>
        </w:tc>
        <w:tc>
          <w:tcPr>
            <w:tcW w:w="112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86.20</w:t>
            </w:r>
          </w:p>
        </w:tc>
        <w:tc>
          <w:tcPr>
            <w:tcW w:w="950"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-1.29%</w:t>
            </w:r>
          </w:p>
        </w:tc>
        <w:tc>
          <w:tcPr>
            <w:tcW w:w="113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9.73</w:t>
            </w:r>
          </w:p>
        </w:tc>
        <w:tc>
          <w:tcPr>
            <w:tcW w:w="1133"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9.67</w:t>
            </w:r>
          </w:p>
        </w:tc>
        <w:tc>
          <w:tcPr>
            <w:tcW w:w="1034" w:type="dxa"/>
            <w:noWrap/>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-0.62%</w:t>
            </w:r>
          </w:p>
        </w:tc>
      </w:tr>
    </w:tbl>
    <w:p>
      <w:pPr>
        <w:pStyle w:val="44"/>
        <w:rPr>
          <w:rFonts w:ascii="宋体" w:hAnsi="宋体"/>
        </w:rPr>
      </w:pPr>
      <w:r>
        <w:rPr>
          <w:rFonts w:ascii="宋体" w:hAnsi="宋体"/>
        </w:rPr>
        <w:t>注：收盘价统计区间为2023年1月1日-2023年6月30日</w:t>
      </w:r>
    </w:p>
    <w:p>
      <w:pPr>
        <w:pStyle w:val="44"/>
        <w:rPr>
          <w:rFonts w:ascii="宋体" w:hAnsi="宋体"/>
        </w:rPr>
      </w:pPr>
      <w:r>
        <w:rPr>
          <w:rFonts w:ascii="宋体" w:hAnsi="宋体"/>
        </w:rPr>
        <w:t>数据来源：Choice、易董研究所整理</w:t>
      </w:r>
    </w:p>
    <w:p>
      <w:pPr>
        <w:pStyle w:val="3"/>
        <w:rPr>
          <w:rFonts w:ascii="宋体" w:hAnsi="宋体" w:eastAsia="宋体" w:cstheme="majorHAnsi"/>
        </w:rPr>
      </w:pPr>
      <w:bookmarkStart w:id="194" w:name="_Toc148969285"/>
      <w:bookmarkStart w:id="195" w:name="_Toc147675146"/>
      <w:r>
        <w:rPr>
          <w:rFonts w:ascii="宋体" w:hAnsi="宋体" w:eastAsia="宋体" w:cstheme="majorHAnsi"/>
        </w:rPr>
        <w:t>2023年上半年度</w:t>
      </w:r>
      <w:r>
        <w:rPr>
          <w:rFonts w:hint="eastAsia" w:ascii="宋体" w:hAnsi="宋体" w:eastAsia="宋体" w:cstheme="majorHAnsi"/>
        </w:rPr>
        <w:t>A股上市公司发展中的困难</w:t>
      </w:r>
      <w:bookmarkEnd w:id="194"/>
      <w:bookmarkEnd w:id="195"/>
    </w:p>
    <w:p>
      <w:pPr>
        <w:pStyle w:val="4"/>
        <w:numPr>
          <w:ilvl w:val="0"/>
          <w:numId w:val="4"/>
        </w:numPr>
      </w:pPr>
      <w:bookmarkStart w:id="196" w:name="_Toc147675147"/>
      <w:bookmarkStart w:id="197" w:name="_Toc148969286"/>
      <w:r>
        <w:t>创收增长放缓，创利能力两极化态势延续</w:t>
      </w:r>
      <w:bookmarkEnd w:id="196"/>
      <w:bookmarkEnd w:id="197"/>
    </w:p>
    <w:p>
      <w:pPr>
        <w:rPr>
          <w:rFonts w:ascii="宋体" w:hAnsi="宋体" w:eastAsia="宋体" w:cs="宋体"/>
          <w:szCs w:val="21"/>
          <w:lang w:bidi="ar"/>
        </w:rPr>
      </w:pPr>
      <w:r>
        <w:rPr>
          <w:rFonts w:hint="eastAsia" w:ascii="宋体" w:hAnsi="宋体" w:eastAsia="宋体" w:cs="宋体"/>
          <w:szCs w:val="21"/>
          <w:lang w:bidi="ar"/>
        </w:rPr>
        <w:t>2023年上半年，A股上市公司</w:t>
      </w:r>
      <w:r>
        <w:rPr>
          <w:rFonts w:ascii="宋体" w:hAnsi="宋体" w:eastAsia="宋体" w:cs="宋体"/>
          <w:szCs w:val="21"/>
          <w:lang w:bidi="ar"/>
        </w:rPr>
        <w:t>创收能力下降</w:t>
      </w:r>
      <w:r>
        <w:rPr>
          <w:rFonts w:hint="eastAsia" w:ascii="宋体" w:hAnsi="宋体" w:eastAsia="宋体" w:cs="宋体"/>
          <w:szCs w:val="21"/>
          <w:lang w:bidi="ar"/>
        </w:rPr>
        <w:t>，</w:t>
      </w:r>
      <w:r>
        <w:rPr>
          <w:rFonts w:ascii="宋体" w:hAnsi="宋体" w:eastAsia="宋体" w:cs="宋体"/>
          <w:szCs w:val="21"/>
          <w:lang w:bidi="ar"/>
        </w:rPr>
        <w:t>整体增长幅度有所降低</w:t>
      </w:r>
      <w:r>
        <w:rPr>
          <w:rFonts w:hint="eastAsia" w:ascii="宋体" w:hAnsi="宋体" w:eastAsia="宋体" w:cs="宋体"/>
          <w:szCs w:val="21"/>
          <w:lang w:bidi="ar"/>
        </w:rPr>
        <w:t>。A股上市公司合计实现营业收入35.27万亿元，同比增幅1.62%，共有3007家上市公司实现增收，占比57.92%，其中增长幅度超过50%的有385家，占比7.42%。</w:t>
      </w:r>
      <w:r>
        <w:rPr>
          <w:rFonts w:ascii="宋体" w:hAnsi="宋体" w:eastAsia="宋体" w:cs="宋体"/>
          <w:szCs w:val="21"/>
          <w:lang w:bidi="ar"/>
        </w:rPr>
        <w:t>截止2023年6月30日，在营业收入正增长中的区间中，0-20%区间上市公司数量整体增加，共</w:t>
      </w:r>
      <w:r>
        <w:rPr>
          <w:rFonts w:hint="eastAsia" w:ascii="宋体" w:hAnsi="宋体" w:eastAsia="宋体" w:cs="宋体"/>
          <w:szCs w:val="21"/>
          <w:lang w:bidi="ar"/>
        </w:rPr>
        <w:t>1753</w:t>
      </w:r>
      <w:r>
        <w:rPr>
          <w:rFonts w:ascii="宋体" w:hAnsi="宋体" w:eastAsia="宋体" w:cs="宋体"/>
          <w:szCs w:val="21"/>
          <w:lang w:bidi="ar"/>
        </w:rPr>
        <w:t>家，相比于2022年上半年新增</w:t>
      </w:r>
      <w:r>
        <w:rPr>
          <w:rFonts w:hint="eastAsia" w:ascii="宋体" w:hAnsi="宋体" w:eastAsia="宋体" w:cs="宋体"/>
          <w:szCs w:val="21"/>
          <w:lang w:bidi="ar"/>
        </w:rPr>
        <w:t>256</w:t>
      </w:r>
      <w:r>
        <w:rPr>
          <w:rFonts w:ascii="宋体" w:hAnsi="宋体" w:eastAsia="宋体" w:cs="宋体"/>
          <w:szCs w:val="21"/>
          <w:lang w:bidi="ar"/>
        </w:rPr>
        <w:t>家。大于20%的增长区间的上市公司数量整体减少，共</w:t>
      </w:r>
      <w:r>
        <w:rPr>
          <w:rFonts w:hint="eastAsia" w:ascii="宋体" w:hAnsi="宋体" w:eastAsia="宋体" w:cs="宋体"/>
          <w:szCs w:val="21"/>
          <w:lang w:bidi="ar"/>
        </w:rPr>
        <w:t>1254</w:t>
      </w:r>
      <w:r>
        <w:rPr>
          <w:rFonts w:ascii="宋体" w:hAnsi="宋体" w:eastAsia="宋体" w:cs="宋体"/>
          <w:szCs w:val="21"/>
          <w:lang w:bidi="ar"/>
        </w:rPr>
        <w:t>家，相比于2022年上半年减少</w:t>
      </w:r>
      <w:r>
        <w:rPr>
          <w:rFonts w:hint="eastAsia" w:ascii="宋体" w:hAnsi="宋体" w:eastAsia="宋体" w:cs="宋体"/>
          <w:szCs w:val="21"/>
          <w:lang w:bidi="ar"/>
        </w:rPr>
        <w:t>212</w:t>
      </w:r>
      <w:r>
        <w:rPr>
          <w:rFonts w:ascii="宋体" w:hAnsi="宋体" w:eastAsia="宋体" w:cs="宋体"/>
          <w:szCs w:val="21"/>
          <w:lang w:bidi="ar"/>
        </w:rPr>
        <w:t>家。在营业收入负增长的区间中，</w:t>
      </w:r>
      <w:r>
        <w:rPr>
          <w:rFonts w:hint="eastAsia" w:ascii="宋体" w:hAnsi="宋体" w:eastAsia="宋体" w:cs="宋体"/>
          <w:szCs w:val="21"/>
          <w:lang w:bidi="ar"/>
        </w:rPr>
        <w:t>上市公司数量整体呈增加趋势，共2184家，相比于2022年上半年新增261家。</w:t>
      </w:r>
    </w:p>
    <w:p>
      <w:pPr>
        <w:rPr>
          <w:rFonts w:ascii="宋体" w:hAnsi="宋体" w:eastAsia="宋体" w:cs="宋体"/>
          <w:szCs w:val="21"/>
          <w:lang w:bidi="ar"/>
        </w:rPr>
      </w:pPr>
      <w:r>
        <w:rPr>
          <w:rFonts w:hint="eastAsia" w:ascii="宋体" w:hAnsi="宋体" w:eastAsia="宋体" w:cs="宋体"/>
          <w:szCs w:val="21"/>
          <w:lang w:bidi="ar"/>
        </w:rPr>
        <w:t>2023年上半年</w:t>
      </w:r>
      <w:r>
        <w:rPr>
          <w:rFonts w:ascii="宋体" w:hAnsi="宋体" w:eastAsia="宋体" w:cs="宋体"/>
          <w:szCs w:val="21"/>
          <w:lang w:bidi="ar"/>
        </w:rPr>
        <w:t>，</w:t>
      </w:r>
      <w:r>
        <w:rPr>
          <w:rFonts w:hint="eastAsia" w:ascii="宋体" w:hAnsi="宋体" w:eastAsia="宋体" w:cs="宋体"/>
          <w:szCs w:val="21"/>
          <w:lang w:bidi="ar"/>
        </w:rPr>
        <w:t>A股上市公司营业收入</w:t>
      </w:r>
      <w:r>
        <w:rPr>
          <w:rFonts w:ascii="宋体" w:hAnsi="宋体" w:eastAsia="宋体" w:cs="宋体"/>
          <w:szCs w:val="21"/>
          <w:lang w:bidi="ar"/>
        </w:rPr>
        <w:t>变化</w:t>
      </w:r>
      <w:r>
        <w:rPr>
          <w:rFonts w:hint="eastAsia" w:ascii="宋体" w:hAnsi="宋体" w:eastAsia="宋体" w:cs="宋体"/>
          <w:szCs w:val="21"/>
          <w:lang w:bidi="ar"/>
        </w:rPr>
        <w:t>情况接近正态分布的统计态势，与2022年同期统计态势</w:t>
      </w:r>
      <w:r>
        <w:rPr>
          <w:rFonts w:ascii="宋体" w:hAnsi="宋体" w:eastAsia="宋体" w:cs="宋体"/>
          <w:szCs w:val="21"/>
          <w:lang w:bidi="ar"/>
        </w:rPr>
        <w:t>相比，</w:t>
      </w:r>
      <w:r>
        <w:rPr>
          <w:rFonts w:hint="eastAsia" w:ascii="宋体" w:hAnsi="宋体" w:eastAsia="宋体" w:cs="宋体"/>
          <w:szCs w:val="21"/>
          <w:lang w:bidi="ar"/>
        </w:rPr>
        <w:t>增长幅度的正态分布统计态势更加集中。营业收入增长幅度和亏损幅度超过50%的企业数量较2022年同期均有所减少，两个极值区间的公司数量共计512家，数量同比跌幅27.17%。处于-20%≤营收变化幅度≤20%区间的上市公司共3104家，数量同比增幅17.44%，该区间内公司数量占上市公司总数量的59.80%，企业营业收入增长幅度愈加趋于集中。</w:t>
      </w:r>
    </w:p>
    <w:p>
      <w:pPr>
        <w:keepNext/>
        <w:ind w:firstLine="0" w:firstLineChars="0"/>
        <w:rPr>
          <w:rFonts w:ascii="宋体" w:hAnsi="宋体" w:eastAsia="宋体" w:cstheme="majorHAnsi"/>
        </w:rPr>
      </w:pPr>
      <w:r>
        <w:rPr>
          <w:rFonts w:ascii="宋体" w:hAnsi="宋体" w:eastAsia="宋体" w:cstheme="majorHAnsi"/>
        </w:rPr>
        <w:drawing>
          <wp:inline distT="0" distB="0" distL="114300" distR="114300">
            <wp:extent cx="5271135" cy="2954655"/>
            <wp:effectExtent l="0" t="0" r="190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271135" cy="2954655"/>
                    </a:xfrm>
                    <a:prstGeom prst="rect">
                      <a:avLst/>
                    </a:prstGeom>
                    <a:noFill/>
                    <a:ln>
                      <a:noFill/>
                    </a:ln>
                  </pic:spPr>
                </pic:pic>
              </a:graphicData>
            </a:graphic>
          </wp:inline>
        </w:drawing>
      </w:r>
    </w:p>
    <w:p>
      <w:pPr>
        <w:pStyle w:val="7"/>
        <w:rPr>
          <w:rFonts w:ascii="宋体" w:hAnsi="宋体"/>
        </w:rPr>
      </w:pPr>
      <w:r>
        <w:rPr>
          <w:rFonts w:ascii="宋体" w:hAnsi="宋体"/>
        </w:rPr>
        <w:t xml:space="preserve">图 </w:t>
      </w:r>
      <w:r>
        <w:rPr>
          <w:rFonts w:ascii="宋体" w:hAnsi="宋体"/>
        </w:rPr>
        <w:fldChar w:fldCharType="begin"/>
      </w:r>
      <w:r>
        <w:rPr>
          <w:rFonts w:ascii="宋体" w:hAnsi="宋体"/>
        </w:rPr>
        <w:instrText xml:space="preserve"> SEQ 图 \* ARABIC </w:instrText>
      </w:r>
      <w:r>
        <w:rPr>
          <w:rFonts w:ascii="宋体" w:hAnsi="宋体"/>
        </w:rPr>
        <w:fldChar w:fldCharType="separate"/>
      </w:r>
      <w:r>
        <w:rPr>
          <w:rFonts w:ascii="宋体" w:hAnsi="宋体"/>
        </w:rPr>
        <w:t>2</w:t>
      </w:r>
      <w:r>
        <w:rPr>
          <w:rFonts w:ascii="宋体" w:hAnsi="宋体"/>
        </w:rPr>
        <w:fldChar w:fldCharType="end"/>
      </w:r>
      <w:r>
        <w:rPr>
          <w:rFonts w:ascii="宋体" w:hAnsi="宋体"/>
        </w:rPr>
        <w:t xml:space="preserve"> A股上市公司营收同比变化区间分布图</w:t>
      </w:r>
    </w:p>
    <w:p>
      <w:pPr>
        <w:pStyle w:val="44"/>
        <w:rPr>
          <w:rFonts w:ascii="宋体" w:hAnsi="宋体"/>
        </w:rPr>
      </w:pPr>
      <w:r>
        <w:rPr>
          <w:rFonts w:ascii="宋体" w:hAnsi="宋体"/>
        </w:rPr>
        <w:t>数据来源：Choice、易董研究所整理</w:t>
      </w:r>
    </w:p>
    <w:p>
      <w:pPr>
        <w:pStyle w:val="44"/>
        <w:rPr>
          <w:rFonts w:ascii="宋体" w:hAnsi="宋体"/>
        </w:rPr>
      </w:pPr>
      <w:r>
        <w:rPr>
          <w:rFonts w:ascii="宋体" w:hAnsi="宋体"/>
        </w:rPr>
        <w:t>注：2023年数据有四家公司因2022年半年报营业收入为0，故将其剔除样本池，样本总数为5191家。</w:t>
      </w:r>
    </w:p>
    <w:p>
      <w:pPr>
        <w:pStyle w:val="44"/>
        <w:rPr>
          <w:rFonts w:ascii="宋体" w:hAnsi="宋体"/>
        </w:rPr>
      </w:pPr>
    </w:p>
    <w:p>
      <w:pPr>
        <w:ind w:firstLine="422"/>
        <w:rPr>
          <w:rFonts w:ascii="宋体" w:hAnsi="宋体" w:eastAsia="宋体" w:cs="宋体"/>
          <w:szCs w:val="21"/>
          <w:lang w:bidi="ar"/>
        </w:rPr>
      </w:pPr>
      <w:bookmarkStart w:id="198" w:name="_Toc145323818"/>
      <w:r>
        <w:rPr>
          <w:rFonts w:ascii="宋体" w:hAnsi="宋体" w:eastAsia="宋体" w:cstheme="majorHAnsi"/>
          <w:b/>
          <w:bCs/>
        </w:rPr>
        <w:t>净利润两极分化态势延续，增收不增利现象突出</w:t>
      </w:r>
      <w:bookmarkEnd w:id="198"/>
      <w:r>
        <w:rPr>
          <w:rFonts w:ascii="宋体" w:hAnsi="宋体" w:eastAsia="宋体" w:cstheme="majorHAnsi"/>
          <w:b/>
          <w:bCs/>
        </w:rPr>
        <w:t>。</w:t>
      </w:r>
      <w:r>
        <w:rPr>
          <w:rFonts w:hint="eastAsia" w:ascii="宋体" w:hAnsi="宋体" w:eastAsia="宋体" w:cs="宋体"/>
          <w:szCs w:val="21"/>
          <w:lang w:bidi="ar"/>
        </w:rPr>
        <w:t>从净利润指标来看，</w:t>
      </w:r>
      <w:r>
        <w:rPr>
          <w:rFonts w:ascii="宋体" w:hAnsi="宋体" w:eastAsia="宋体" w:cs="Times New Roman"/>
          <w:szCs w:val="21"/>
          <w:lang w:bidi="ar"/>
        </w:rPr>
        <w:t>2023</w:t>
      </w:r>
      <w:r>
        <w:rPr>
          <w:rFonts w:hint="eastAsia" w:ascii="宋体" w:hAnsi="宋体" w:eastAsia="宋体" w:cs="宋体"/>
          <w:szCs w:val="21"/>
          <w:lang w:bidi="ar"/>
        </w:rPr>
        <w:t>上半年</w:t>
      </w:r>
      <w:r>
        <w:rPr>
          <w:rFonts w:ascii="宋体" w:hAnsi="宋体" w:eastAsia="宋体" w:cs="Times New Roman"/>
          <w:szCs w:val="21"/>
          <w:lang w:bidi="ar"/>
        </w:rPr>
        <w:t>A</w:t>
      </w:r>
      <w:r>
        <w:rPr>
          <w:rFonts w:hint="eastAsia" w:ascii="宋体" w:hAnsi="宋体" w:eastAsia="宋体" w:cs="宋体"/>
          <w:szCs w:val="21"/>
          <w:lang w:bidi="ar"/>
        </w:rPr>
        <w:t>股上市公司合计实现净利润</w:t>
      </w:r>
      <w:r>
        <w:rPr>
          <w:rFonts w:ascii="宋体" w:hAnsi="宋体" w:eastAsia="宋体" w:cs="Times New Roman"/>
          <w:szCs w:val="21"/>
          <w:lang w:bidi="ar"/>
        </w:rPr>
        <w:t>2.95</w:t>
      </w:r>
      <w:r>
        <w:rPr>
          <w:rFonts w:hint="eastAsia" w:ascii="宋体" w:hAnsi="宋体" w:eastAsia="宋体" w:cs="宋体"/>
          <w:szCs w:val="21"/>
          <w:lang w:bidi="ar"/>
        </w:rPr>
        <w:t>万亿元，相较于</w:t>
      </w:r>
      <w:r>
        <w:rPr>
          <w:rFonts w:ascii="宋体" w:hAnsi="宋体" w:eastAsia="宋体" w:cs="Times New Roman"/>
          <w:szCs w:val="21"/>
          <w:lang w:bidi="ar"/>
        </w:rPr>
        <w:t>2022</w:t>
      </w:r>
      <w:r>
        <w:rPr>
          <w:rFonts w:hint="eastAsia" w:ascii="宋体" w:hAnsi="宋体" w:eastAsia="宋体" w:cs="宋体"/>
          <w:szCs w:val="21"/>
          <w:lang w:bidi="ar"/>
        </w:rPr>
        <w:t>年上半年，净利润同比跌幅</w:t>
      </w:r>
      <w:r>
        <w:rPr>
          <w:rFonts w:ascii="宋体" w:hAnsi="宋体" w:eastAsia="宋体" w:cs="Times New Roman"/>
          <w:szCs w:val="21"/>
          <w:lang w:bidi="ar"/>
        </w:rPr>
        <w:t>3.28%</w:t>
      </w:r>
      <w:r>
        <w:rPr>
          <w:rFonts w:hint="eastAsia" w:ascii="宋体" w:hAnsi="宋体" w:eastAsia="宋体" w:cs="宋体"/>
          <w:szCs w:val="21"/>
          <w:lang w:bidi="ar"/>
        </w:rPr>
        <w:t>。实现盈利的上市公司共</w:t>
      </w:r>
      <w:r>
        <w:rPr>
          <w:rFonts w:ascii="宋体" w:hAnsi="宋体" w:eastAsia="宋体" w:cs="Times New Roman"/>
          <w:szCs w:val="21"/>
          <w:lang w:bidi="ar"/>
        </w:rPr>
        <w:t>4184</w:t>
      </w:r>
      <w:r>
        <w:rPr>
          <w:rFonts w:hint="eastAsia" w:ascii="宋体" w:hAnsi="宋体" w:eastAsia="宋体" w:cs="宋体"/>
          <w:szCs w:val="21"/>
          <w:lang w:bidi="ar"/>
        </w:rPr>
        <w:t>家，但实现净利润超过</w:t>
      </w:r>
      <w:r>
        <w:rPr>
          <w:rFonts w:ascii="宋体" w:hAnsi="宋体" w:eastAsia="宋体" w:cs="Times New Roman"/>
          <w:szCs w:val="21"/>
          <w:lang w:bidi="ar"/>
        </w:rPr>
        <w:t>10</w:t>
      </w:r>
      <w:r>
        <w:rPr>
          <w:rFonts w:hint="eastAsia" w:ascii="宋体" w:hAnsi="宋体" w:eastAsia="宋体" w:cs="宋体"/>
          <w:szCs w:val="21"/>
          <w:lang w:bidi="ar"/>
        </w:rPr>
        <w:t>亿元的上市公司仅</w:t>
      </w:r>
      <w:r>
        <w:rPr>
          <w:rFonts w:ascii="宋体" w:hAnsi="宋体" w:eastAsia="宋体" w:cs="Times New Roman"/>
          <w:szCs w:val="21"/>
          <w:lang w:bidi="ar"/>
        </w:rPr>
        <w:t>349</w:t>
      </w:r>
      <w:r>
        <w:rPr>
          <w:rFonts w:hint="eastAsia" w:ascii="宋体" w:hAnsi="宋体" w:eastAsia="宋体" w:cs="宋体"/>
          <w:szCs w:val="21"/>
          <w:lang w:bidi="ar"/>
        </w:rPr>
        <w:t>家。</w:t>
      </w:r>
    </w:p>
    <w:p>
      <w:pPr>
        <w:rPr>
          <w:rFonts w:ascii="宋体" w:hAnsi="宋体" w:eastAsia="宋体" w:cs="Times New Roman"/>
          <w:szCs w:val="21"/>
        </w:rPr>
      </w:pPr>
      <w:r>
        <w:rPr>
          <w:rFonts w:hint="eastAsia" w:ascii="宋体" w:hAnsi="宋体" w:eastAsia="宋体" w:cs="宋体"/>
          <w:szCs w:val="21"/>
          <w:lang w:bidi="ar"/>
        </w:rPr>
        <w:t>受上游原材料成本高企及下游需求放缓两端挤压，上市公司经营压力明显增加。根据数据统计显示，</w:t>
      </w:r>
      <w:r>
        <w:rPr>
          <w:rFonts w:ascii="宋体" w:hAnsi="宋体" w:eastAsia="宋体" w:cs="Times New Roman"/>
          <w:szCs w:val="21"/>
          <w:lang w:bidi="ar"/>
        </w:rPr>
        <w:t>A</w:t>
      </w:r>
      <w:r>
        <w:rPr>
          <w:rFonts w:hint="eastAsia" w:ascii="宋体" w:hAnsi="宋体" w:eastAsia="宋体" w:cs="宋体"/>
          <w:szCs w:val="21"/>
          <w:lang w:bidi="ar"/>
        </w:rPr>
        <w:t>股上市公司</w:t>
      </w:r>
      <w:r>
        <w:rPr>
          <w:rFonts w:ascii="宋体" w:hAnsi="宋体" w:eastAsia="宋体" w:cs="Times New Roman"/>
          <w:szCs w:val="21"/>
          <w:lang w:bidi="ar"/>
        </w:rPr>
        <w:t>2023</w:t>
      </w:r>
      <w:r>
        <w:rPr>
          <w:rFonts w:hint="eastAsia" w:ascii="宋体" w:hAnsi="宋体" w:eastAsia="宋体" w:cs="宋体"/>
          <w:szCs w:val="21"/>
          <w:lang w:bidi="ar"/>
        </w:rPr>
        <w:t>上半年的盈利情况两尾突出，增长幅度和亏损幅度超</w:t>
      </w:r>
      <w:r>
        <w:rPr>
          <w:rFonts w:ascii="宋体" w:hAnsi="宋体" w:eastAsia="宋体" w:cs="Times New Roman"/>
          <w:szCs w:val="21"/>
          <w:lang w:bidi="ar"/>
        </w:rPr>
        <w:t>50%</w:t>
      </w:r>
      <w:r>
        <w:rPr>
          <w:rFonts w:hint="eastAsia" w:ascii="宋体" w:hAnsi="宋体" w:eastAsia="宋体" w:cs="宋体"/>
          <w:szCs w:val="21"/>
          <w:lang w:bidi="ar"/>
        </w:rPr>
        <w:t>的公司远高于中间区间的公司数量，向两极化发展。和</w:t>
      </w:r>
      <w:r>
        <w:rPr>
          <w:rFonts w:ascii="宋体" w:hAnsi="宋体" w:eastAsia="宋体" w:cs="Times New Roman"/>
          <w:szCs w:val="21"/>
          <w:lang w:bidi="ar"/>
        </w:rPr>
        <w:t>2022</w:t>
      </w:r>
      <w:r>
        <w:rPr>
          <w:rFonts w:hint="eastAsia" w:ascii="宋体" w:hAnsi="宋体" w:eastAsia="宋体" w:cs="宋体"/>
          <w:szCs w:val="21"/>
          <w:lang w:bidi="ar"/>
        </w:rPr>
        <w:t>年同期数据对比，</w:t>
      </w:r>
      <w:r>
        <w:rPr>
          <w:rFonts w:ascii="宋体" w:hAnsi="宋体" w:eastAsia="宋体" w:cs="Times New Roman"/>
          <w:szCs w:val="21"/>
          <w:lang w:bidi="ar"/>
        </w:rPr>
        <w:t>2023</w:t>
      </w:r>
      <w:r>
        <w:rPr>
          <w:rFonts w:hint="eastAsia" w:ascii="宋体" w:hAnsi="宋体" w:eastAsia="宋体" w:cs="宋体"/>
          <w:szCs w:val="21"/>
          <w:lang w:bidi="ar"/>
        </w:rPr>
        <w:t>年净利润增幅左端分布占比增加，跌幅超</w:t>
      </w:r>
      <w:r>
        <w:rPr>
          <w:rFonts w:ascii="宋体" w:hAnsi="宋体" w:eastAsia="宋体" w:cs="Times New Roman"/>
          <w:szCs w:val="21"/>
          <w:lang w:bidi="ar"/>
        </w:rPr>
        <w:t>50%</w:t>
      </w:r>
      <w:r>
        <w:rPr>
          <w:rFonts w:hint="eastAsia" w:ascii="宋体" w:hAnsi="宋体" w:eastAsia="宋体" w:cs="宋体"/>
          <w:szCs w:val="21"/>
          <w:lang w:bidi="ar"/>
        </w:rPr>
        <w:t>的公司数量为</w:t>
      </w:r>
      <w:r>
        <w:rPr>
          <w:rFonts w:ascii="宋体" w:hAnsi="宋体" w:eastAsia="宋体" w:cs="Times New Roman"/>
          <w:szCs w:val="21"/>
          <w:lang w:bidi="ar"/>
        </w:rPr>
        <w:t>1449</w:t>
      </w:r>
      <w:r>
        <w:rPr>
          <w:rFonts w:hint="eastAsia" w:ascii="宋体" w:hAnsi="宋体" w:eastAsia="宋体" w:cs="宋体"/>
          <w:szCs w:val="21"/>
          <w:lang w:bidi="ar"/>
        </w:rPr>
        <w:t>家，占比</w:t>
      </w:r>
      <w:r>
        <w:rPr>
          <w:rFonts w:ascii="宋体" w:hAnsi="宋体" w:eastAsia="宋体" w:cs="Times New Roman"/>
          <w:szCs w:val="21"/>
          <w:lang w:bidi="ar"/>
        </w:rPr>
        <w:t>27.89%</w:t>
      </w:r>
      <w:r>
        <w:rPr>
          <w:rFonts w:hint="eastAsia" w:ascii="宋体" w:hAnsi="宋体" w:eastAsia="宋体" w:cs="宋体"/>
          <w:szCs w:val="21"/>
          <w:lang w:bidi="ar"/>
        </w:rPr>
        <w:t>，增加</w:t>
      </w:r>
      <w:r>
        <w:rPr>
          <w:rFonts w:ascii="宋体" w:hAnsi="宋体" w:eastAsia="宋体" w:cs="Times New Roman"/>
          <w:szCs w:val="21"/>
          <w:lang w:bidi="ar"/>
        </w:rPr>
        <w:t>3.65</w:t>
      </w:r>
      <w:r>
        <w:rPr>
          <w:rFonts w:hint="eastAsia" w:ascii="宋体" w:hAnsi="宋体" w:eastAsia="宋体" w:cs="宋体"/>
          <w:szCs w:val="21"/>
          <w:lang w:bidi="ar"/>
        </w:rPr>
        <w:t>个百分点。</w:t>
      </w:r>
      <w:r>
        <w:rPr>
          <w:rFonts w:ascii="宋体" w:hAnsi="宋体" w:eastAsia="宋体" w:cs="Times New Roman"/>
          <w:szCs w:val="21"/>
          <w:lang w:bidi="ar"/>
        </w:rPr>
        <w:t>A</w:t>
      </w:r>
      <w:r>
        <w:rPr>
          <w:rFonts w:hint="eastAsia" w:ascii="宋体" w:hAnsi="宋体" w:eastAsia="宋体" w:cs="宋体"/>
          <w:szCs w:val="21"/>
          <w:lang w:bidi="ar"/>
        </w:rPr>
        <w:t>股市场共</w:t>
      </w:r>
      <w:r>
        <w:rPr>
          <w:rFonts w:ascii="宋体" w:hAnsi="宋体" w:eastAsia="宋体" w:cs="Times New Roman"/>
          <w:szCs w:val="21"/>
          <w:lang w:bidi="ar"/>
        </w:rPr>
        <w:t>2395</w:t>
      </w:r>
      <w:r>
        <w:rPr>
          <w:rFonts w:hint="eastAsia" w:ascii="宋体" w:hAnsi="宋体" w:eastAsia="宋体" w:cs="宋体"/>
          <w:szCs w:val="21"/>
          <w:lang w:bidi="ar"/>
        </w:rPr>
        <w:t>家上市公司净利润实现增长，占比</w:t>
      </w:r>
      <w:r>
        <w:rPr>
          <w:rFonts w:ascii="宋体" w:hAnsi="宋体" w:eastAsia="宋体" w:cs="Times New Roman"/>
          <w:szCs w:val="21"/>
          <w:lang w:bidi="ar"/>
        </w:rPr>
        <w:t>46.10%</w:t>
      </w:r>
      <w:r>
        <w:rPr>
          <w:rFonts w:hint="eastAsia" w:ascii="宋体" w:hAnsi="宋体" w:eastAsia="宋体" w:cs="宋体"/>
          <w:szCs w:val="21"/>
          <w:lang w:bidi="ar"/>
        </w:rPr>
        <w:t>，占比同期下降</w:t>
      </w:r>
      <w:r>
        <w:rPr>
          <w:rFonts w:ascii="宋体" w:hAnsi="宋体" w:eastAsia="宋体" w:cs="Times New Roman"/>
          <w:szCs w:val="21"/>
          <w:lang w:bidi="ar"/>
        </w:rPr>
        <w:t>0.97</w:t>
      </w:r>
      <w:r>
        <w:rPr>
          <w:rFonts w:hint="eastAsia" w:ascii="宋体" w:hAnsi="宋体" w:eastAsia="宋体" w:cs="宋体"/>
          <w:szCs w:val="21"/>
          <w:lang w:bidi="ar"/>
        </w:rPr>
        <w:t>个百分点，其中</w:t>
      </w:r>
      <w:r>
        <w:rPr>
          <w:rFonts w:ascii="宋体" w:hAnsi="宋体" w:eastAsia="宋体" w:cs="Times New Roman"/>
          <w:szCs w:val="21"/>
          <w:lang w:bidi="ar"/>
        </w:rPr>
        <w:t>299</w:t>
      </w:r>
      <w:r>
        <w:rPr>
          <w:rFonts w:hint="eastAsia" w:ascii="宋体" w:hAnsi="宋体" w:eastAsia="宋体" w:cs="宋体"/>
          <w:szCs w:val="21"/>
          <w:lang w:bidi="ar"/>
        </w:rPr>
        <w:t>家公司同比上年实现扭亏。处于</w:t>
      </w:r>
      <w:r>
        <w:rPr>
          <w:rFonts w:ascii="宋体" w:hAnsi="宋体" w:eastAsia="宋体" w:cs="Times New Roman"/>
          <w:szCs w:val="21"/>
          <w:lang w:bidi="ar"/>
        </w:rPr>
        <w:t>0%≤</w:t>
      </w:r>
      <w:r>
        <w:rPr>
          <w:rFonts w:hint="eastAsia" w:ascii="宋体" w:hAnsi="宋体" w:eastAsia="宋体" w:cs="宋体"/>
          <w:szCs w:val="21"/>
          <w:lang w:bidi="ar"/>
        </w:rPr>
        <w:t>净利润变化幅度</w:t>
      </w:r>
      <w:r>
        <w:rPr>
          <w:rFonts w:ascii="宋体" w:hAnsi="宋体" w:eastAsia="宋体" w:cs="Times New Roman"/>
          <w:szCs w:val="21"/>
          <w:lang w:bidi="ar"/>
        </w:rPr>
        <w:t>≤50%</w:t>
      </w:r>
      <w:r>
        <w:rPr>
          <w:rFonts w:hint="eastAsia" w:ascii="宋体" w:hAnsi="宋体" w:eastAsia="宋体" w:cs="宋体"/>
          <w:szCs w:val="21"/>
          <w:lang w:bidi="ar"/>
        </w:rPr>
        <w:t>区间的上市公司数量有所增长，共增加</w:t>
      </w:r>
      <w:r>
        <w:rPr>
          <w:rFonts w:ascii="宋体" w:hAnsi="宋体" w:eastAsia="宋体" w:cs="Times New Roman"/>
          <w:szCs w:val="21"/>
          <w:lang w:bidi="ar"/>
        </w:rPr>
        <w:t>194</w:t>
      </w:r>
      <w:r>
        <w:rPr>
          <w:rFonts w:hint="eastAsia" w:ascii="宋体" w:hAnsi="宋体" w:eastAsia="宋体" w:cs="宋体"/>
          <w:szCs w:val="21"/>
          <w:lang w:bidi="ar"/>
        </w:rPr>
        <w:t>家，数量增加最明显的是</w:t>
      </w:r>
      <w:r>
        <w:rPr>
          <w:rFonts w:ascii="宋体" w:hAnsi="宋体" w:eastAsia="宋体" w:cs="Times New Roman"/>
          <w:szCs w:val="21"/>
          <w:lang w:bidi="ar"/>
        </w:rPr>
        <w:t>0%≤</w:t>
      </w:r>
      <w:r>
        <w:rPr>
          <w:rFonts w:hint="eastAsia" w:ascii="宋体" w:hAnsi="宋体" w:eastAsia="宋体" w:cs="宋体"/>
          <w:szCs w:val="21"/>
          <w:lang w:bidi="ar"/>
        </w:rPr>
        <w:t>净利润变化幅度</w:t>
      </w:r>
      <w:r>
        <w:rPr>
          <w:rFonts w:ascii="宋体" w:hAnsi="宋体" w:eastAsia="宋体" w:cs="Times New Roman"/>
          <w:szCs w:val="21"/>
          <w:lang w:bidi="ar"/>
        </w:rPr>
        <w:t>≤20%</w:t>
      </w:r>
      <w:r>
        <w:rPr>
          <w:rFonts w:hint="eastAsia" w:ascii="宋体" w:hAnsi="宋体" w:eastAsia="宋体" w:cs="宋体"/>
          <w:szCs w:val="21"/>
          <w:lang w:bidi="ar"/>
        </w:rPr>
        <w:t>区间内的公司，共增加</w:t>
      </w:r>
      <w:r>
        <w:rPr>
          <w:rFonts w:ascii="宋体" w:hAnsi="宋体" w:eastAsia="宋体" w:cs="Times New Roman"/>
          <w:szCs w:val="21"/>
          <w:lang w:bidi="ar"/>
        </w:rPr>
        <w:t>90</w:t>
      </w:r>
      <w:r>
        <w:rPr>
          <w:rFonts w:hint="eastAsia" w:ascii="宋体" w:hAnsi="宋体" w:eastAsia="宋体" w:cs="宋体"/>
          <w:szCs w:val="21"/>
          <w:lang w:bidi="ar"/>
        </w:rPr>
        <w:t>家。</w:t>
      </w:r>
    </w:p>
    <w:p>
      <w:pPr>
        <w:ind w:firstLine="0" w:firstLineChars="0"/>
        <w:rPr>
          <w:rFonts w:ascii="宋体" w:hAnsi="宋体" w:eastAsia="宋体" w:cstheme="majorHAnsi"/>
        </w:rPr>
      </w:pPr>
      <w:r>
        <w:rPr>
          <w:rFonts w:ascii="宋体" w:hAnsi="宋体" w:eastAsia="宋体" w:cstheme="majorHAnsi"/>
        </w:rPr>
        <w:drawing>
          <wp:inline distT="0" distB="0" distL="114300" distR="114300">
            <wp:extent cx="5271770" cy="3045460"/>
            <wp:effectExtent l="0" t="0" r="127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271770" cy="3045460"/>
                    </a:xfrm>
                    <a:prstGeom prst="rect">
                      <a:avLst/>
                    </a:prstGeom>
                    <a:noFill/>
                    <a:ln>
                      <a:noFill/>
                    </a:ln>
                  </pic:spPr>
                </pic:pic>
              </a:graphicData>
            </a:graphic>
          </wp:inline>
        </w:drawing>
      </w:r>
    </w:p>
    <w:p>
      <w:pPr>
        <w:pStyle w:val="7"/>
        <w:rPr>
          <w:rFonts w:ascii="宋体" w:hAnsi="宋体"/>
        </w:rPr>
      </w:pPr>
      <w:r>
        <w:rPr>
          <w:rFonts w:ascii="宋体" w:hAnsi="宋体"/>
        </w:rPr>
        <w:t xml:space="preserve">图 </w:t>
      </w:r>
      <w:r>
        <w:rPr>
          <w:rFonts w:ascii="宋体" w:hAnsi="宋体"/>
        </w:rPr>
        <w:fldChar w:fldCharType="begin"/>
      </w:r>
      <w:r>
        <w:rPr>
          <w:rFonts w:ascii="宋体" w:hAnsi="宋体"/>
        </w:rPr>
        <w:instrText xml:space="preserve"> SEQ 图 \* ARABIC </w:instrText>
      </w:r>
      <w:r>
        <w:rPr>
          <w:rFonts w:ascii="宋体" w:hAnsi="宋体"/>
        </w:rPr>
        <w:fldChar w:fldCharType="separate"/>
      </w:r>
      <w:r>
        <w:rPr>
          <w:rFonts w:ascii="宋体" w:hAnsi="宋体"/>
        </w:rPr>
        <w:t>3</w:t>
      </w:r>
      <w:r>
        <w:rPr>
          <w:rFonts w:ascii="宋体" w:hAnsi="宋体"/>
        </w:rPr>
        <w:fldChar w:fldCharType="end"/>
      </w:r>
      <w:r>
        <w:rPr>
          <w:rFonts w:ascii="宋体" w:hAnsi="宋体"/>
        </w:rPr>
        <w:t xml:space="preserve"> A股上市公司净利润同比变化情况分布图</w:t>
      </w:r>
    </w:p>
    <w:p>
      <w:pPr>
        <w:pStyle w:val="44"/>
        <w:rPr>
          <w:rFonts w:ascii="宋体" w:hAnsi="宋体"/>
        </w:rPr>
      </w:pPr>
      <w:r>
        <w:rPr>
          <w:rFonts w:ascii="宋体" w:hAnsi="宋体"/>
        </w:rPr>
        <w:t>数据来源：Choice、易董研究所整理</w:t>
      </w:r>
    </w:p>
    <w:p>
      <w:pPr>
        <w:ind w:firstLine="0" w:firstLineChars="0"/>
        <w:rPr>
          <w:rFonts w:ascii="宋体" w:hAnsi="宋体" w:eastAsia="宋体" w:cstheme="majorHAnsi"/>
        </w:rPr>
      </w:pPr>
    </w:p>
    <w:p>
      <w:pPr>
        <w:pStyle w:val="4"/>
      </w:pPr>
      <w:bookmarkStart w:id="199" w:name="_Toc147675148"/>
      <w:bookmarkStart w:id="200" w:name="_Toc148969287"/>
      <w:r>
        <w:rPr>
          <w:rFonts w:hint="eastAsia"/>
        </w:rPr>
        <w:t>国有控股上市公司净利略有下滑，民营企业需</w:t>
      </w:r>
      <w:bookmarkEnd w:id="199"/>
      <w:r>
        <w:rPr>
          <w:rFonts w:hint="eastAsia"/>
        </w:rPr>
        <w:t>提质增效共同发展</w:t>
      </w:r>
      <w:bookmarkEnd w:id="200"/>
    </w:p>
    <w:p>
      <w:pPr>
        <w:rPr>
          <w:rFonts w:ascii="宋体" w:hAnsi="宋体" w:eastAsia="宋体" w:cstheme="majorHAnsi"/>
        </w:rPr>
      </w:pPr>
      <w:r>
        <w:rPr>
          <w:rFonts w:hint="eastAsia" w:ascii="宋体" w:hAnsi="宋体" w:eastAsia="宋体" w:cstheme="majorHAnsi"/>
        </w:rPr>
        <w:t>2</w:t>
      </w:r>
      <w:r>
        <w:rPr>
          <w:rFonts w:ascii="宋体" w:hAnsi="宋体" w:eastAsia="宋体" w:cstheme="majorHAnsi"/>
        </w:rPr>
        <w:t>023</w:t>
      </w:r>
      <w:r>
        <w:rPr>
          <w:rFonts w:hint="eastAsia" w:ascii="宋体" w:hAnsi="宋体" w:eastAsia="宋体" w:cstheme="majorHAnsi"/>
        </w:rPr>
        <w:t>年上半年国有控股上市公司整体营收增长，但总体净利有所下滑，集中于5</w:t>
      </w:r>
      <w:r>
        <w:rPr>
          <w:rFonts w:ascii="宋体" w:hAnsi="宋体" w:eastAsia="宋体" w:cstheme="majorHAnsi"/>
        </w:rPr>
        <w:t>00</w:t>
      </w:r>
      <w:r>
        <w:rPr>
          <w:rFonts w:hint="eastAsia" w:ascii="宋体" w:hAnsi="宋体" w:eastAsia="宋体" w:cstheme="majorHAnsi"/>
        </w:rPr>
        <w:t>亿市值以下上市公司。截至2</w:t>
      </w:r>
      <w:r>
        <w:rPr>
          <w:rFonts w:ascii="宋体" w:hAnsi="宋体" w:eastAsia="宋体" w:cstheme="majorHAnsi"/>
        </w:rPr>
        <w:t>023</w:t>
      </w:r>
      <w:r>
        <w:rPr>
          <w:rFonts w:hint="eastAsia" w:ascii="宋体" w:hAnsi="宋体" w:eastAsia="宋体" w:cstheme="majorHAnsi"/>
        </w:rPr>
        <w:t>年</w:t>
      </w:r>
      <w:r>
        <w:rPr>
          <w:rFonts w:ascii="宋体" w:hAnsi="宋体" w:eastAsia="宋体" w:cstheme="majorHAnsi"/>
        </w:rPr>
        <w:t>6</w:t>
      </w:r>
      <w:r>
        <w:rPr>
          <w:rFonts w:hint="eastAsia" w:ascii="宋体" w:hAnsi="宋体" w:eastAsia="宋体" w:cstheme="majorHAnsi"/>
        </w:rPr>
        <w:t>月3</w:t>
      </w:r>
      <w:r>
        <w:rPr>
          <w:rFonts w:ascii="宋体" w:hAnsi="宋体" w:eastAsia="宋体" w:cstheme="majorHAnsi"/>
        </w:rPr>
        <w:t>0</w:t>
      </w:r>
      <w:r>
        <w:rPr>
          <w:rFonts w:hint="eastAsia" w:ascii="宋体" w:hAnsi="宋体" w:eastAsia="宋体" w:cstheme="majorHAnsi"/>
        </w:rPr>
        <w:t>日，国有控股上市公司净利总额</w:t>
      </w:r>
      <w:r>
        <w:rPr>
          <w:rFonts w:ascii="宋体" w:hAnsi="宋体" w:eastAsia="宋体" w:cstheme="majorHAnsi"/>
        </w:rPr>
        <w:t>20048.38</w:t>
      </w:r>
      <w:r>
        <w:rPr>
          <w:rFonts w:hint="eastAsia" w:ascii="宋体" w:hAnsi="宋体" w:eastAsia="宋体" w:cstheme="majorHAnsi"/>
        </w:rPr>
        <w:t>亿元，同比下降2</w:t>
      </w:r>
      <w:r>
        <w:rPr>
          <w:rFonts w:ascii="宋体" w:hAnsi="宋体" w:eastAsia="宋体" w:cstheme="majorHAnsi"/>
        </w:rPr>
        <w:t>.74%</w:t>
      </w:r>
      <w:r>
        <w:rPr>
          <w:rFonts w:hint="eastAsia" w:ascii="宋体" w:hAnsi="宋体" w:eastAsia="宋体" w:cstheme="majorHAnsi"/>
        </w:rPr>
        <w:t>。1</w:t>
      </w:r>
      <w:r>
        <w:rPr>
          <w:rFonts w:ascii="宋体" w:hAnsi="宋体" w:eastAsia="宋体" w:cstheme="majorHAnsi"/>
        </w:rPr>
        <w:t>376</w:t>
      </w:r>
      <w:r>
        <w:rPr>
          <w:rFonts w:hint="eastAsia" w:ascii="宋体" w:hAnsi="宋体" w:eastAsia="宋体" w:cstheme="majorHAnsi"/>
        </w:rPr>
        <w:t>家国有控股上市公司中，共5</w:t>
      </w:r>
      <w:r>
        <w:rPr>
          <w:rFonts w:ascii="宋体" w:hAnsi="宋体" w:eastAsia="宋体" w:cstheme="majorHAnsi"/>
        </w:rPr>
        <w:t>84</w:t>
      </w:r>
      <w:r>
        <w:rPr>
          <w:rFonts w:hint="eastAsia" w:ascii="宋体" w:hAnsi="宋体" w:eastAsia="宋体" w:cstheme="majorHAnsi"/>
        </w:rPr>
        <w:t>家上市公司同比下滑，占比达4</w:t>
      </w:r>
      <w:r>
        <w:rPr>
          <w:rFonts w:ascii="宋体" w:hAnsi="宋体" w:eastAsia="宋体" w:cstheme="majorHAnsi"/>
        </w:rPr>
        <w:t>2.44%</w:t>
      </w:r>
      <w:r>
        <w:rPr>
          <w:rFonts w:hint="eastAsia" w:ascii="宋体" w:hAnsi="宋体" w:eastAsia="宋体" w:cstheme="majorHAnsi"/>
        </w:rPr>
        <w:t>。其中，5</w:t>
      </w:r>
      <w:r>
        <w:rPr>
          <w:rFonts w:ascii="宋体" w:hAnsi="宋体" w:eastAsia="宋体" w:cstheme="majorHAnsi"/>
        </w:rPr>
        <w:t>00</w:t>
      </w:r>
      <w:r>
        <w:rPr>
          <w:rFonts w:hint="eastAsia" w:ascii="宋体" w:hAnsi="宋体" w:eastAsia="宋体" w:cstheme="majorHAnsi"/>
        </w:rPr>
        <w:t>亿市值以下上市公司均表现出经营承压的情况，5</w:t>
      </w:r>
      <w:r>
        <w:rPr>
          <w:rFonts w:ascii="宋体" w:hAnsi="宋体" w:eastAsia="宋体" w:cstheme="majorHAnsi"/>
        </w:rPr>
        <w:t>00</w:t>
      </w:r>
      <w:r>
        <w:rPr>
          <w:rFonts w:hint="eastAsia" w:ascii="宋体" w:hAnsi="宋体" w:eastAsia="宋体" w:cstheme="majorHAnsi"/>
        </w:rPr>
        <w:t>亿到万亿市值上市公司表现稍好，万亿以上市值净利未下滑，表现出优秀的创利能力。</w:t>
      </w:r>
      <w:r>
        <w:rPr>
          <w:rFonts w:ascii="宋体" w:hAnsi="宋体" w:eastAsia="宋体" w:cstheme="majorHAnsi"/>
        </w:rPr>
        <w:t>0-50</w:t>
      </w:r>
      <w:r>
        <w:rPr>
          <w:rFonts w:hint="eastAsia" w:ascii="宋体" w:hAnsi="宋体" w:eastAsia="宋体" w:cstheme="majorHAnsi"/>
        </w:rPr>
        <w:t>亿、5</w:t>
      </w:r>
      <w:r>
        <w:rPr>
          <w:rFonts w:ascii="宋体" w:hAnsi="宋体" w:eastAsia="宋体" w:cstheme="majorHAnsi"/>
        </w:rPr>
        <w:t>0-100</w:t>
      </w:r>
      <w:r>
        <w:rPr>
          <w:rFonts w:hint="eastAsia" w:ascii="宋体" w:hAnsi="宋体" w:eastAsia="宋体" w:cstheme="majorHAnsi"/>
        </w:rPr>
        <w:t>亿、1</w:t>
      </w:r>
      <w:r>
        <w:rPr>
          <w:rFonts w:ascii="宋体" w:hAnsi="宋体" w:eastAsia="宋体" w:cstheme="majorHAnsi"/>
        </w:rPr>
        <w:t>00</w:t>
      </w:r>
      <w:r>
        <w:rPr>
          <w:rFonts w:hint="eastAsia" w:ascii="宋体" w:hAnsi="宋体" w:eastAsia="宋体" w:cstheme="majorHAnsi"/>
        </w:rPr>
        <w:t>-</w:t>
      </w:r>
      <w:r>
        <w:rPr>
          <w:rFonts w:ascii="宋体" w:hAnsi="宋体" w:eastAsia="宋体" w:cstheme="majorHAnsi"/>
        </w:rPr>
        <w:t>500</w:t>
      </w:r>
      <w:r>
        <w:rPr>
          <w:rFonts w:hint="eastAsia" w:ascii="宋体" w:hAnsi="宋体" w:eastAsia="宋体" w:cstheme="majorHAnsi"/>
        </w:rPr>
        <w:t>亿市值上市公司净利下降数量分别占比4</w:t>
      </w:r>
      <w:r>
        <w:rPr>
          <w:rFonts w:ascii="宋体" w:hAnsi="宋体" w:eastAsia="宋体" w:cstheme="majorHAnsi"/>
        </w:rPr>
        <w:t>5.83%</w:t>
      </w:r>
      <w:r>
        <w:rPr>
          <w:rFonts w:hint="eastAsia" w:ascii="宋体" w:hAnsi="宋体" w:eastAsia="宋体" w:cstheme="majorHAnsi"/>
        </w:rPr>
        <w:t>、4</w:t>
      </w:r>
      <w:r>
        <w:rPr>
          <w:rFonts w:ascii="宋体" w:hAnsi="宋体" w:eastAsia="宋体" w:cstheme="majorHAnsi"/>
        </w:rPr>
        <w:t>2.13%</w:t>
      </w:r>
      <w:r>
        <w:rPr>
          <w:rFonts w:hint="eastAsia" w:ascii="宋体" w:hAnsi="宋体" w:eastAsia="宋体" w:cstheme="majorHAnsi"/>
        </w:rPr>
        <w:t>、4</w:t>
      </w:r>
      <w:r>
        <w:rPr>
          <w:rFonts w:ascii="宋体" w:hAnsi="宋体" w:eastAsia="宋体" w:cstheme="majorHAnsi"/>
        </w:rPr>
        <w:t>3.16%</w:t>
      </w:r>
      <w:r>
        <w:rPr>
          <w:rFonts w:hint="eastAsia" w:ascii="宋体" w:hAnsi="宋体" w:eastAsia="宋体" w:cstheme="majorHAnsi"/>
        </w:rPr>
        <w:t>。</w:t>
      </w:r>
    </w:p>
    <w:p>
      <w:pPr>
        <w:pStyle w:val="7"/>
        <w:rPr>
          <w:rFonts w:ascii="宋体" w:hAnsi="宋体"/>
        </w:rPr>
      </w:pPr>
      <w:r>
        <w:rPr>
          <w:rFonts w:ascii="宋体" w:hAnsi="宋体"/>
        </w:rPr>
        <w:t xml:space="preserve">表 </w:t>
      </w:r>
      <w:r>
        <w:rPr>
          <w:rFonts w:ascii="宋体" w:hAnsi="宋体"/>
        </w:rPr>
        <w:fldChar w:fldCharType="begin"/>
      </w:r>
      <w:r>
        <w:rPr>
          <w:rFonts w:ascii="宋体" w:hAnsi="宋体"/>
        </w:rPr>
        <w:instrText xml:space="preserve"> SEQ 表 \* ARABIC </w:instrText>
      </w:r>
      <w:r>
        <w:rPr>
          <w:rFonts w:ascii="宋体" w:hAnsi="宋体"/>
        </w:rPr>
        <w:fldChar w:fldCharType="separate"/>
      </w:r>
      <w:r>
        <w:rPr>
          <w:rFonts w:ascii="宋体" w:hAnsi="宋体"/>
        </w:rPr>
        <w:t>11</w:t>
      </w:r>
      <w:r>
        <w:rPr>
          <w:rFonts w:ascii="宋体" w:hAnsi="宋体"/>
        </w:rPr>
        <w:fldChar w:fldCharType="end"/>
      </w:r>
      <w:r>
        <w:rPr>
          <w:rFonts w:ascii="宋体" w:hAnsi="宋体"/>
        </w:rPr>
        <w:t xml:space="preserve"> 2023年上半年</w:t>
      </w:r>
      <w:r>
        <w:rPr>
          <w:rFonts w:hint="eastAsia" w:ascii="宋体" w:hAnsi="宋体"/>
        </w:rPr>
        <w:t>国有</w:t>
      </w:r>
      <w:r>
        <w:rPr>
          <w:rFonts w:ascii="宋体" w:hAnsi="宋体"/>
        </w:rPr>
        <w:t>上市公司的</w:t>
      </w:r>
      <w:r>
        <w:rPr>
          <w:rFonts w:hint="eastAsia" w:ascii="宋体" w:hAnsi="宋体"/>
        </w:rPr>
        <w:t>各市值区间亏损占比</w:t>
      </w:r>
      <w:r>
        <w:rPr>
          <w:rFonts w:ascii="宋体" w:hAnsi="宋体"/>
        </w:rPr>
        <w:t>情况</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2260"/>
        <w:gridCol w:w="226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22" w:type="pct"/>
            <w:shd w:val="clear" w:color="auto" w:fill="E7E6E6" w:themeFill="background2"/>
            <w:noWrap/>
            <w:vAlign w:val="center"/>
          </w:tcPr>
          <w:p>
            <w:pPr>
              <w:spacing w:line="240" w:lineRule="auto"/>
              <w:ind w:firstLine="0" w:firstLineChars="0"/>
              <w:jc w:val="center"/>
              <w:rPr>
                <w:b/>
                <w:bCs/>
                <w:sz w:val="18"/>
                <w:szCs w:val="18"/>
              </w:rPr>
            </w:pPr>
            <w:r>
              <w:rPr>
                <w:rFonts w:hint="eastAsia"/>
                <w:b/>
                <w:bCs/>
                <w:sz w:val="18"/>
                <w:szCs w:val="18"/>
              </w:rPr>
              <w:t>市值区间</w:t>
            </w:r>
          </w:p>
        </w:tc>
        <w:tc>
          <w:tcPr>
            <w:tcW w:w="1326" w:type="pct"/>
            <w:shd w:val="clear" w:color="auto" w:fill="E7E6E6" w:themeFill="background2"/>
            <w:noWrap/>
            <w:vAlign w:val="center"/>
          </w:tcPr>
          <w:p>
            <w:pPr>
              <w:spacing w:line="240" w:lineRule="auto"/>
              <w:ind w:firstLine="0" w:firstLineChars="0"/>
              <w:jc w:val="center"/>
              <w:rPr>
                <w:b/>
                <w:bCs/>
                <w:sz w:val="18"/>
                <w:szCs w:val="18"/>
              </w:rPr>
            </w:pPr>
            <w:r>
              <w:rPr>
                <w:rFonts w:hint="eastAsia"/>
                <w:b/>
                <w:bCs/>
                <w:sz w:val="18"/>
                <w:szCs w:val="18"/>
              </w:rPr>
              <w:t>国有控股上市公司下滑数量（家）</w:t>
            </w:r>
          </w:p>
        </w:tc>
        <w:tc>
          <w:tcPr>
            <w:tcW w:w="1326" w:type="pct"/>
            <w:shd w:val="clear" w:color="auto" w:fill="E7E6E6" w:themeFill="background2"/>
            <w:noWrap/>
            <w:vAlign w:val="center"/>
          </w:tcPr>
          <w:p>
            <w:pPr>
              <w:spacing w:line="240" w:lineRule="auto"/>
              <w:ind w:firstLine="0" w:firstLineChars="0"/>
              <w:jc w:val="center"/>
              <w:rPr>
                <w:b/>
                <w:bCs/>
                <w:sz w:val="18"/>
                <w:szCs w:val="18"/>
              </w:rPr>
            </w:pPr>
            <w:r>
              <w:rPr>
                <w:rFonts w:hint="eastAsia"/>
                <w:b/>
                <w:bCs/>
                <w:sz w:val="18"/>
                <w:szCs w:val="18"/>
              </w:rPr>
              <w:t>区间国有控股上市公司总数（家）</w:t>
            </w:r>
          </w:p>
        </w:tc>
        <w:tc>
          <w:tcPr>
            <w:tcW w:w="1326" w:type="pct"/>
            <w:shd w:val="clear" w:color="auto" w:fill="E7E6E6" w:themeFill="background2"/>
            <w:noWrap/>
            <w:vAlign w:val="center"/>
          </w:tcPr>
          <w:p>
            <w:pPr>
              <w:spacing w:line="240" w:lineRule="auto"/>
              <w:ind w:firstLine="0" w:firstLineChars="0"/>
              <w:jc w:val="center"/>
              <w:rPr>
                <w:b/>
                <w:bCs/>
                <w:sz w:val="18"/>
                <w:szCs w:val="18"/>
              </w:rPr>
            </w:pPr>
            <w:r>
              <w:rPr>
                <w:rFonts w:hint="eastAsia"/>
                <w:b/>
                <w:bCs/>
                <w:sz w:val="18"/>
                <w:szCs w:val="18"/>
              </w:rPr>
              <w:t>下滑数量占比情况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22" w:type="pct"/>
            <w:noWrap/>
          </w:tcPr>
          <w:p>
            <w:pPr>
              <w:spacing w:line="240" w:lineRule="auto"/>
              <w:ind w:firstLine="0" w:firstLineChars="0"/>
              <w:jc w:val="center"/>
              <w:rPr>
                <w:sz w:val="18"/>
                <w:szCs w:val="18"/>
              </w:rPr>
            </w:pPr>
            <w:r>
              <w:rPr>
                <w:sz w:val="18"/>
                <w:szCs w:val="18"/>
              </w:rPr>
              <w:t>0-50</w:t>
            </w:r>
            <w:r>
              <w:rPr>
                <w:rFonts w:hint="eastAsia"/>
                <w:sz w:val="18"/>
                <w:szCs w:val="18"/>
              </w:rPr>
              <w:t>亿</w:t>
            </w:r>
          </w:p>
        </w:tc>
        <w:tc>
          <w:tcPr>
            <w:tcW w:w="1326" w:type="pct"/>
            <w:noWrap/>
          </w:tcPr>
          <w:p>
            <w:pPr>
              <w:spacing w:line="240" w:lineRule="auto"/>
              <w:ind w:firstLine="0" w:firstLineChars="0"/>
              <w:jc w:val="right"/>
              <w:rPr>
                <w:sz w:val="18"/>
                <w:szCs w:val="18"/>
              </w:rPr>
            </w:pPr>
            <w:r>
              <w:rPr>
                <w:sz w:val="18"/>
                <w:szCs w:val="18"/>
              </w:rPr>
              <w:t>187</w:t>
            </w:r>
          </w:p>
        </w:tc>
        <w:tc>
          <w:tcPr>
            <w:tcW w:w="1326" w:type="pct"/>
            <w:noWrap/>
          </w:tcPr>
          <w:p>
            <w:pPr>
              <w:spacing w:line="240" w:lineRule="auto"/>
              <w:ind w:firstLine="0" w:firstLineChars="0"/>
              <w:jc w:val="right"/>
              <w:rPr>
                <w:sz w:val="18"/>
                <w:szCs w:val="18"/>
              </w:rPr>
            </w:pPr>
            <w:r>
              <w:rPr>
                <w:sz w:val="18"/>
                <w:szCs w:val="18"/>
              </w:rPr>
              <w:t>408</w:t>
            </w:r>
          </w:p>
        </w:tc>
        <w:tc>
          <w:tcPr>
            <w:tcW w:w="1326" w:type="pct"/>
            <w:noWrap/>
          </w:tcPr>
          <w:p>
            <w:pPr>
              <w:spacing w:line="240" w:lineRule="auto"/>
              <w:ind w:firstLine="0" w:firstLineChars="0"/>
              <w:jc w:val="right"/>
              <w:rPr>
                <w:sz w:val="18"/>
                <w:szCs w:val="18"/>
              </w:rPr>
            </w:pPr>
            <w:r>
              <w:rPr>
                <w:sz w:val="18"/>
                <w:szCs w:val="18"/>
              </w:rPr>
              <w:t>45.83%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22" w:type="pct"/>
            <w:noWrap/>
          </w:tcPr>
          <w:p>
            <w:pPr>
              <w:spacing w:line="240" w:lineRule="auto"/>
              <w:ind w:firstLine="0" w:firstLineChars="0"/>
              <w:jc w:val="center"/>
              <w:rPr>
                <w:sz w:val="18"/>
                <w:szCs w:val="18"/>
              </w:rPr>
            </w:pPr>
            <w:r>
              <w:rPr>
                <w:sz w:val="18"/>
                <w:szCs w:val="18"/>
              </w:rPr>
              <w:t>50-100</w:t>
            </w:r>
            <w:r>
              <w:rPr>
                <w:rFonts w:hint="eastAsia"/>
                <w:sz w:val="18"/>
                <w:szCs w:val="18"/>
              </w:rPr>
              <w:t>亿</w:t>
            </w:r>
          </w:p>
        </w:tc>
        <w:tc>
          <w:tcPr>
            <w:tcW w:w="1326" w:type="pct"/>
            <w:noWrap/>
          </w:tcPr>
          <w:p>
            <w:pPr>
              <w:spacing w:line="240" w:lineRule="auto"/>
              <w:ind w:firstLine="0" w:firstLineChars="0"/>
              <w:jc w:val="right"/>
              <w:rPr>
                <w:sz w:val="18"/>
                <w:szCs w:val="18"/>
              </w:rPr>
            </w:pPr>
            <w:r>
              <w:rPr>
                <w:sz w:val="18"/>
                <w:szCs w:val="18"/>
              </w:rPr>
              <w:t>150</w:t>
            </w:r>
          </w:p>
        </w:tc>
        <w:tc>
          <w:tcPr>
            <w:tcW w:w="1326" w:type="pct"/>
            <w:noWrap/>
          </w:tcPr>
          <w:p>
            <w:pPr>
              <w:spacing w:line="240" w:lineRule="auto"/>
              <w:ind w:firstLine="0" w:firstLineChars="0"/>
              <w:jc w:val="right"/>
              <w:rPr>
                <w:sz w:val="18"/>
                <w:szCs w:val="18"/>
              </w:rPr>
            </w:pPr>
            <w:r>
              <w:rPr>
                <w:sz w:val="18"/>
                <w:szCs w:val="18"/>
              </w:rPr>
              <w:t>356</w:t>
            </w:r>
          </w:p>
        </w:tc>
        <w:tc>
          <w:tcPr>
            <w:tcW w:w="1326" w:type="pct"/>
            <w:noWrap/>
          </w:tcPr>
          <w:p>
            <w:pPr>
              <w:spacing w:line="240" w:lineRule="auto"/>
              <w:ind w:firstLine="0" w:firstLineChars="0"/>
              <w:jc w:val="right"/>
              <w:rPr>
                <w:sz w:val="18"/>
                <w:szCs w:val="18"/>
              </w:rPr>
            </w:pPr>
            <w:r>
              <w:rPr>
                <w:sz w:val="18"/>
                <w:szCs w:val="18"/>
              </w:rPr>
              <w:t>42.13%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22" w:type="pct"/>
            <w:noWrap/>
          </w:tcPr>
          <w:p>
            <w:pPr>
              <w:spacing w:line="240" w:lineRule="auto"/>
              <w:ind w:firstLine="0" w:firstLineChars="0"/>
              <w:jc w:val="center"/>
              <w:rPr>
                <w:sz w:val="18"/>
                <w:szCs w:val="18"/>
              </w:rPr>
            </w:pPr>
            <w:r>
              <w:rPr>
                <w:sz w:val="18"/>
                <w:szCs w:val="18"/>
              </w:rPr>
              <w:t>100-500</w:t>
            </w:r>
            <w:r>
              <w:rPr>
                <w:rFonts w:hint="eastAsia"/>
                <w:sz w:val="18"/>
                <w:szCs w:val="18"/>
              </w:rPr>
              <w:t>亿</w:t>
            </w:r>
          </w:p>
        </w:tc>
        <w:tc>
          <w:tcPr>
            <w:tcW w:w="1326" w:type="pct"/>
            <w:noWrap/>
          </w:tcPr>
          <w:p>
            <w:pPr>
              <w:spacing w:line="240" w:lineRule="auto"/>
              <w:ind w:firstLine="0" w:firstLineChars="0"/>
              <w:jc w:val="right"/>
              <w:rPr>
                <w:sz w:val="18"/>
                <w:szCs w:val="18"/>
              </w:rPr>
            </w:pPr>
            <w:r>
              <w:rPr>
                <w:sz w:val="18"/>
                <w:szCs w:val="18"/>
              </w:rPr>
              <w:t>205</w:t>
            </w:r>
          </w:p>
        </w:tc>
        <w:tc>
          <w:tcPr>
            <w:tcW w:w="1326" w:type="pct"/>
            <w:noWrap/>
          </w:tcPr>
          <w:p>
            <w:pPr>
              <w:spacing w:line="240" w:lineRule="auto"/>
              <w:ind w:firstLine="0" w:firstLineChars="0"/>
              <w:jc w:val="right"/>
              <w:rPr>
                <w:sz w:val="18"/>
                <w:szCs w:val="18"/>
              </w:rPr>
            </w:pPr>
            <w:r>
              <w:rPr>
                <w:sz w:val="18"/>
                <w:szCs w:val="18"/>
              </w:rPr>
              <w:t>475</w:t>
            </w:r>
          </w:p>
        </w:tc>
        <w:tc>
          <w:tcPr>
            <w:tcW w:w="1326" w:type="pct"/>
            <w:noWrap/>
          </w:tcPr>
          <w:p>
            <w:pPr>
              <w:spacing w:line="240" w:lineRule="auto"/>
              <w:ind w:firstLine="0" w:firstLineChars="0"/>
              <w:jc w:val="right"/>
              <w:rPr>
                <w:sz w:val="18"/>
                <w:szCs w:val="18"/>
              </w:rPr>
            </w:pPr>
            <w:r>
              <w:rPr>
                <w:sz w:val="18"/>
                <w:szCs w:val="18"/>
              </w:rPr>
              <w:t>43.16%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22" w:type="pct"/>
            <w:noWrap/>
          </w:tcPr>
          <w:p>
            <w:pPr>
              <w:spacing w:line="240" w:lineRule="auto"/>
              <w:ind w:firstLine="0" w:firstLineChars="0"/>
              <w:jc w:val="center"/>
              <w:rPr>
                <w:sz w:val="18"/>
                <w:szCs w:val="18"/>
              </w:rPr>
            </w:pPr>
            <w:r>
              <w:rPr>
                <w:sz w:val="18"/>
                <w:szCs w:val="18"/>
              </w:rPr>
              <w:t>500-1000</w:t>
            </w:r>
            <w:r>
              <w:rPr>
                <w:rFonts w:hint="eastAsia"/>
                <w:sz w:val="18"/>
                <w:szCs w:val="18"/>
              </w:rPr>
              <w:t>亿</w:t>
            </w:r>
          </w:p>
        </w:tc>
        <w:tc>
          <w:tcPr>
            <w:tcW w:w="1326" w:type="pct"/>
            <w:noWrap/>
          </w:tcPr>
          <w:p>
            <w:pPr>
              <w:spacing w:line="240" w:lineRule="auto"/>
              <w:ind w:firstLine="0" w:firstLineChars="0"/>
              <w:jc w:val="right"/>
              <w:rPr>
                <w:sz w:val="18"/>
                <w:szCs w:val="18"/>
              </w:rPr>
            </w:pPr>
            <w:r>
              <w:rPr>
                <w:sz w:val="18"/>
                <w:szCs w:val="18"/>
              </w:rPr>
              <w:t>19</w:t>
            </w:r>
          </w:p>
        </w:tc>
        <w:tc>
          <w:tcPr>
            <w:tcW w:w="1326" w:type="pct"/>
            <w:noWrap/>
          </w:tcPr>
          <w:p>
            <w:pPr>
              <w:spacing w:line="240" w:lineRule="auto"/>
              <w:ind w:firstLine="0" w:firstLineChars="0"/>
              <w:jc w:val="right"/>
              <w:rPr>
                <w:sz w:val="18"/>
                <w:szCs w:val="18"/>
              </w:rPr>
            </w:pPr>
            <w:r>
              <w:rPr>
                <w:sz w:val="18"/>
                <w:szCs w:val="18"/>
              </w:rPr>
              <w:t>64</w:t>
            </w:r>
          </w:p>
        </w:tc>
        <w:tc>
          <w:tcPr>
            <w:tcW w:w="1326" w:type="pct"/>
            <w:noWrap/>
          </w:tcPr>
          <w:p>
            <w:pPr>
              <w:spacing w:line="240" w:lineRule="auto"/>
              <w:ind w:firstLine="0" w:firstLineChars="0"/>
              <w:jc w:val="right"/>
              <w:rPr>
                <w:sz w:val="18"/>
                <w:szCs w:val="18"/>
              </w:rPr>
            </w:pPr>
            <w:r>
              <w:rPr>
                <w:sz w:val="18"/>
                <w:szCs w:val="18"/>
              </w:rPr>
              <w:t>29.69%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22" w:type="pct"/>
            <w:noWrap/>
          </w:tcPr>
          <w:p>
            <w:pPr>
              <w:spacing w:line="240" w:lineRule="auto"/>
              <w:ind w:firstLine="0" w:firstLineChars="0"/>
              <w:jc w:val="center"/>
              <w:rPr>
                <w:sz w:val="18"/>
                <w:szCs w:val="18"/>
              </w:rPr>
            </w:pPr>
            <w:r>
              <w:rPr>
                <w:sz w:val="18"/>
                <w:szCs w:val="18"/>
              </w:rPr>
              <w:t>1000-10000</w:t>
            </w:r>
            <w:r>
              <w:rPr>
                <w:rFonts w:hint="eastAsia"/>
                <w:sz w:val="18"/>
                <w:szCs w:val="18"/>
              </w:rPr>
              <w:t>亿</w:t>
            </w:r>
          </w:p>
        </w:tc>
        <w:tc>
          <w:tcPr>
            <w:tcW w:w="1326" w:type="pct"/>
            <w:noWrap/>
          </w:tcPr>
          <w:p>
            <w:pPr>
              <w:spacing w:line="240" w:lineRule="auto"/>
              <w:ind w:firstLine="0" w:firstLineChars="0"/>
              <w:jc w:val="right"/>
              <w:rPr>
                <w:sz w:val="18"/>
                <w:szCs w:val="18"/>
              </w:rPr>
            </w:pPr>
            <w:r>
              <w:rPr>
                <w:sz w:val="18"/>
                <w:szCs w:val="18"/>
              </w:rPr>
              <w:t>23</w:t>
            </w:r>
          </w:p>
        </w:tc>
        <w:tc>
          <w:tcPr>
            <w:tcW w:w="1326" w:type="pct"/>
            <w:noWrap/>
          </w:tcPr>
          <w:p>
            <w:pPr>
              <w:spacing w:line="240" w:lineRule="auto"/>
              <w:ind w:firstLine="0" w:firstLineChars="0"/>
              <w:jc w:val="right"/>
              <w:rPr>
                <w:sz w:val="18"/>
                <w:szCs w:val="18"/>
              </w:rPr>
            </w:pPr>
            <w:r>
              <w:rPr>
                <w:sz w:val="18"/>
                <w:szCs w:val="18"/>
              </w:rPr>
              <w:t>68</w:t>
            </w:r>
          </w:p>
        </w:tc>
        <w:tc>
          <w:tcPr>
            <w:tcW w:w="1326" w:type="pct"/>
            <w:noWrap/>
          </w:tcPr>
          <w:p>
            <w:pPr>
              <w:spacing w:line="240" w:lineRule="auto"/>
              <w:ind w:firstLine="0" w:firstLineChars="0"/>
              <w:jc w:val="right"/>
              <w:rPr>
                <w:sz w:val="18"/>
                <w:szCs w:val="18"/>
              </w:rPr>
            </w:pPr>
            <w:r>
              <w:rPr>
                <w:sz w:val="18"/>
                <w:szCs w:val="18"/>
              </w:rPr>
              <w:t>33.82%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22" w:type="pct"/>
            <w:noWrap/>
          </w:tcPr>
          <w:p>
            <w:pPr>
              <w:spacing w:line="240" w:lineRule="auto"/>
              <w:ind w:firstLine="0" w:firstLineChars="0"/>
              <w:jc w:val="center"/>
              <w:rPr>
                <w:sz w:val="18"/>
                <w:szCs w:val="18"/>
              </w:rPr>
            </w:pPr>
            <w:r>
              <w:rPr>
                <w:rFonts w:hint="eastAsia"/>
                <w:sz w:val="18"/>
                <w:szCs w:val="18"/>
              </w:rPr>
              <w:t>万亿以上</w:t>
            </w:r>
          </w:p>
        </w:tc>
        <w:tc>
          <w:tcPr>
            <w:tcW w:w="1326" w:type="pct"/>
            <w:noWrap/>
          </w:tcPr>
          <w:p>
            <w:pPr>
              <w:spacing w:line="240" w:lineRule="auto"/>
              <w:ind w:firstLine="0" w:firstLineChars="0"/>
              <w:jc w:val="right"/>
              <w:rPr>
                <w:sz w:val="18"/>
                <w:szCs w:val="18"/>
              </w:rPr>
            </w:pPr>
            <w:r>
              <w:rPr>
                <w:sz w:val="18"/>
                <w:szCs w:val="18"/>
              </w:rPr>
              <w:t>0</w:t>
            </w:r>
          </w:p>
        </w:tc>
        <w:tc>
          <w:tcPr>
            <w:tcW w:w="1326" w:type="pct"/>
            <w:noWrap/>
          </w:tcPr>
          <w:p>
            <w:pPr>
              <w:spacing w:line="240" w:lineRule="auto"/>
              <w:ind w:firstLine="0" w:firstLineChars="0"/>
              <w:jc w:val="right"/>
              <w:rPr>
                <w:sz w:val="18"/>
                <w:szCs w:val="18"/>
              </w:rPr>
            </w:pPr>
            <w:r>
              <w:rPr>
                <w:sz w:val="18"/>
                <w:szCs w:val="18"/>
              </w:rPr>
              <w:t>5</w:t>
            </w:r>
          </w:p>
        </w:tc>
        <w:tc>
          <w:tcPr>
            <w:tcW w:w="1326" w:type="pct"/>
            <w:noWrap/>
          </w:tcPr>
          <w:p>
            <w:pPr>
              <w:spacing w:line="240" w:lineRule="auto"/>
              <w:ind w:firstLine="0" w:firstLineChars="0"/>
              <w:jc w:val="right"/>
              <w:rPr>
                <w:sz w:val="18"/>
                <w:szCs w:val="18"/>
              </w:rPr>
            </w:pPr>
            <w:r>
              <w:rPr>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022" w:type="pct"/>
            <w:noWrap/>
          </w:tcPr>
          <w:p>
            <w:pPr>
              <w:spacing w:line="240" w:lineRule="auto"/>
              <w:ind w:firstLine="0" w:firstLineChars="0"/>
              <w:jc w:val="center"/>
              <w:rPr>
                <w:sz w:val="18"/>
                <w:szCs w:val="18"/>
              </w:rPr>
            </w:pPr>
            <w:r>
              <w:rPr>
                <w:rFonts w:hint="eastAsia"/>
                <w:sz w:val="18"/>
                <w:szCs w:val="18"/>
              </w:rPr>
              <w:t>合计</w:t>
            </w:r>
          </w:p>
        </w:tc>
        <w:tc>
          <w:tcPr>
            <w:tcW w:w="1326" w:type="pct"/>
            <w:noWrap/>
          </w:tcPr>
          <w:p>
            <w:pPr>
              <w:spacing w:line="240" w:lineRule="auto"/>
              <w:ind w:firstLine="0" w:firstLineChars="0"/>
              <w:jc w:val="right"/>
              <w:rPr>
                <w:sz w:val="18"/>
                <w:szCs w:val="18"/>
              </w:rPr>
            </w:pPr>
            <w:r>
              <w:rPr>
                <w:sz w:val="18"/>
                <w:szCs w:val="18"/>
              </w:rPr>
              <w:t>584</w:t>
            </w:r>
          </w:p>
        </w:tc>
        <w:tc>
          <w:tcPr>
            <w:tcW w:w="1326" w:type="pct"/>
            <w:noWrap/>
          </w:tcPr>
          <w:p>
            <w:pPr>
              <w:spacing w:line="240" w:lineRule="auto"/>
              <w:ind w:firstLine="0" w:firstLineChars="0"/>
              <w:jc w:val="right"/>
              <w:rPr>
                <w:sz w:val="18"/>
                <w:szCs w:val="18"/>
              </w:rPr>
            </w:pPr>
            <w:r>
              <w:rPr>
                <w:sz w:val="18"/>
                <w:szCs w:val="18"/>
              </w:rPr>
              <w:t>1376</w:t>
            </w:r>
          </w:p>
        </w:tc>
        <w:tc>
          <w:tcPr>
            <w:tcW w:w="1326" w:type="pct"/>
            <w:noWrap/>
          </w:tcPr>
          <w:p>
            <w:pPr>
              <w:spacing w:line="240" w:lineRule="auto"/>
              <w:ind w:firstLine="0" w:firstLineChars="0"/>
              <w:jc w:val="right"/>
              <w:rPr>
                <w:sz w:val="18"/>
                <w:szCs w:val="18"/>
              </w:rPr>
            </w:pPr>
            <w:r>
              <w:rPr>
                <w:sz w:val="18"/>
                <w:szCs w:val="18"/>
              </w:rPr>
              <w:t>42.44%</w:t>
            </w:r>
          </w:p>
        </w:tc>
      </w:tr>
    </w:tbl>
    <w:p>
      <w:pPr>
        <w:pStyle w:val="44"/>
        <w:rPr>
          <w:rFonts w:ascii="宋体" w:hAnsi="宋体"/>
        </w:rPr>
      </w:pPr>
      <w:r>
        <w:rPr>
          <w:rFonts w:ascii="宋体" w:hAnsi="宋体"/>
        </w:rPr>
        <w:t>数据来源：Choice、易董研究所整理</w:t>
      </w:r>
    </w:p>
    <w:p>
      <w:pPr>
        <w:ind w:firstLine="0" w:firstLineChars="0"/>
      </w:pPr>
    </w:p>
    <w:p>
      <w:pPr>
        <w:rPr>
          <w:rFonts w:ascii="宋体" w:hAnsi="宋体" w:eastAsia="宋体" w:cstheme="majorHAnsi"/>
        </w:rPr>
      </w:pPr>
      <w:bookmarkStart w:id="201" w:name="_Toc145323822"/>
      <w:r>
        <w:rPr>
          <w:rFonts w:hint="eastAsia" w:ascii="宋体" w:hAnsi="宋体" w:eastAsia="宋体" w:cstheme="majorHAnsi"/>
        </w:rPr>
        <w:t>增收不增利情况</w:t>
      </w:r>
      <w:r>
        <w:rPr>
          <w:rFonts w:hint="eastAsia" w:ascii="宋体" w:hAnsi="宋体" w:eastAsia="宋体" w:cstheme="majorHAnsi"/>
          <w:b/>
          <w:bCs/>
        </w:rPr>
        <w:t>民营上市公司表现突出，</w:t>
      </w:r>
      <w:bookmarkEnd w:id="201"/>
      <w:r>
        <w:rPr>
          <w:rFonts w:ascii="宋体" w:hAnsi="宋体" w:eastAsia="宋体" w:cstheme="majorHAnsi"/>
          <w:b/>
          <w:bCs/>
        </w:rPr>
        <w:t>传统制造业需加快提高产业转型能效</w:t>
      </w:r>
      <w:r>
        <w:rPr>
          <w:rFonts w:hint="eastAsia" w:ascii="宋体" w:hAnsi="宋体" w:eastAsia="宋体" w:cstheme="majorHAnsi"/>
          <w:b/>
          <w:bCs/>
        </w:rPr>
        <w:t>。</w:t>
      </w:r>
      <w:r>
        <w:rPr>
          <w:rFonts w:ascii="宋体" w:hAnsi="宋体" w:eastAsia="宋体" w:cstheme="majorHAnsi"/>
          <w:b/>
          <w:bCs/>
        </w:rPr>
        <w:t>2</w:t>
      </w:r>
      <w:r>
        <w:rPr>
          <w:rFonts w:ascii="宋体" w:hAnsi="宋体" w:eastAsia="宋体" w:cstheme="majorHAnsi"/>
        </w:rPr>
        <w:t>023年上半年，民营上市公司营业收入规模为81294.12亿元，同比增长7.27%，但整体净利润总额下降显著，净利规模为4904.15亿元，同比下降11.32%。</w:t>
      </w:r>
      <w:r>
        <w:rPr>
          <w:rFonts w:hint="eastAsia" w:ascii="宋体" w:hAnsi="宋体" w:eastAsia="宋体" w:cstheme="majorHAnsi"/>
        </w:rPr>
        <w:t>1</w:t>
      </w:r>
      <w:r>
        <w:rPr>
          <w:rFonts w:ascii="宋体" w:hAnsi="宋体" w:eastAsia="宋体" w:cstheme="majorHAnsi"/>
        </w:rPr>
        <w:t>668</w:t>
      </w:r>
      <w:r>
        <w:rPr>
          <w:rFonts w:hint="eastAsia" w:ascii="宋体" w:hAnsi="宋体" w:eastAsia="宋体" w:cstheme="majorHAnsi"/>
        </w:rPr>
        <w:t>家民营上市公司净利同比下滑，占比5</w:t>
      </w:r>
      <w:r>
        <w:rPr>
          <w:rFonts w:ascii="宋体" w:hAnsi="宋体" w:eastAsia="宋体" w:cstheme="majorHAnsi"/>
        </w:rPr>
        <w:t>0.68%</w:t>
      </w:r>
      <w:r>
        <w:rPr>
          <w:rFonts w:hint="eastAsia" w:ascii="宋体" w:hAnsi="宋体" w:eastAsia="宋体" w:cstheme="majorHAnsi"/>
        </w:rPr>
        <w:t>，高于国有控股上市公司净利下滑数量占比情况8.24个百分点。从创收表现上看，2023年上半年，民营上市公司中汽车和电力设备行业同样表现突出，行业营业总收入同比增幅分别达27.97%、26.77%。而部分行业营收有较大幅度下滑，前5行业分别为煤炭（-22.13%）、基础化工（-8.01%）、钢铁（-6.65%）、轻工制造（-5.29%）、公用事业（-3.93%）。</w:t>
      </w:r>
    </w:p>
    <w:p>
      <w:pPr>
        <w:rPr>
          <w:rFonts w:ascii="宋体" w:hAnsi="宋体" w:eastAsia="宋体" w:cstheme="majorHAnsi"/>
        </w:rPr>
      </w:pPr>
      <w:r>
        <w:rPr>
          <w:rFonts w:ascii="宋体" w:hAnsi="宋体" w:eastAsia="宋体" w:cstheme="majorHAnsi"/>
        </w:rPr>
        <w:t>从创利能力上看，</w:t>
      </w:r>
      <w:r>
        <w:rPr>
          <w:rFonts w:hint="eastAsia" w:ascii="宋体" w:hAnsi="宋体" w:eastAsia="宋体" w:cstheme="majorHAnsi"/>
        </w:rPr>
        <w:t>需持续关注与改善民企在医药生物、电子、基础化工等行业中的困境。</w:t>
      </w:r>
      <w:r>
        <w:rPr>
          <w:rFonts w:ascii="宋体" w:hAnsi="宋体" w:eastAsia="宋体" w:cstheme="majorHAnsi"/>
        </w:rPr>
        <w:t>截至2023年6月30日，民营上市公司数量占比最大的前五行业分别为机械设备（401家）、医药生物（358家）、电子（312家）、基础化工（280家）、电力设备（267家），其中机械设备、电力设备行业净利润总额分别同比增长7.31%、24.21%。而医药生物、电子、基础化工行业净利润总额同比下降比率分别为31.59%、41.70%、48.48%，平均亏损0.88亿元、0.52亿元、1.18亿元，此类制造行业的净利润出现了大幅度的亏损，需要持续关注与改善，提高民营上市公司韧性。</w:t>
      </w:r>
    </w:p>
    <w:p>
      <w:pPr>
        <w:pStyle w:val="4"/>
      </w:pPr>
      <w:bookmarkStart w:id="202" w:name="_Toc147675149"/>
      <w:bookmarkStart w:id="203" w:name="_Toc148969288"/>
      <w:r>
        <w:t>中小市值</w:t>
      </w:r>
      <w:r>
        <w:rPr>
          <w:rFonts w:hint="eastAsia"/>
        </w:rPr>
        <w:t>公司增长</w:t>
      </w:r>
      <w:r>
        <w:t>承压</w:t>
      </w:r>
      <w:r>
        <w:rPr>
          <w:rFonts w:hint="eastAsia"/>
        </w:rPr>
        <w:t>较大</w:t>
      </w:r>
      <w:r>
        <w:t>，仍需增强企业</w:t>
      </w:r>
      <w:r>
        <w:rPr>
          <w:rFonts w:hint="eastAsia"/>
        </w:rPr>
        <w:t>发展的</w:t>
      </w:r>
      <w:r>
        <w:t>韧性</w:t>
      </w:r>
      <w:bookmarkEnd w:id="202"/>
      <w:bookmarkEnd w:id="203"/>
    </w:p>
    <w:p>
      <w:pPr>
        <w:ind w:firstLine="422"/>
        <w:rPr>
          <w:rFonts w:ascii="宋体" w:hAnsi="宋体" w:eastAsia="宋体" w:cstheme="majorHAnsi"/>
        </w:rPr>
      </w:pPr>
      <w:r>
        <w:rPr>
          <w:rFonts w:ascii="宋体" w:hAnsi="宋体" w:eastAsia="宋体" w:cstheme="majorHAnsi"/>
          <w:b/>
          <w:bCs/>
        </w:rPr>
        <w:t>超八成亏损上市公司为中小市值公司，其持续增长能力有待提升。</w:t>
      </w:r>
      <w:r>
        <w:rPr>
          <w:rFonts w:ascii="宋体" w:hAnsi="宋体" w:eastAsia="宋体" w:cstheme="majorHAnsi"/>
        </w:rPr>
        <w:t>2023年上半年，净利润产生亏损的上市公司共有1011家，数量同比增加14.89%。整体上看，亏损上市公司数量占比随上市公司市值降低而不断</w:t>
      </w:r>
      <w:r>
        <w:rPr>
          <w:rFonts w:hint="eastAsia" w:ascii="宋体" w:hAnsi="宋体" w:eastAsia="宋体" w:cstheme="majorHAnsi"/>
        </w:rPr>
        <w:t>增加</w:t>
      </w:r>
      <w:r>
        <w:rPr>
          <w:rFonts w:ascii="宋体" w:hAnsi="宋体" w:eastAsia="宋体" w:cstheme="majorHAnsi"/>
        </w:rPr>
        <w:t>，各市值区间亏损公司</w:t>
      </w:r>
      <w:r>
        <w:rPr>
          <w:rFonts w:hint="eastAsia" w:ascii="宋体" w:hAnsi="宋体" w:eastAsia="宋体" w:cstheme="majorHAnsi"/>
        </w:rPr>
        <w:t>占比情况分别为，0%（万亿以上）、0.49%（1000-10000亿）、0.69%（500-1000亿）、14.14%（100-500亿）、22.85%（50-100亿）、61.82%（50亿以</w:t>
      </w:r>
      <w:r>
        <w:rPr>
          <w:rFonts w:ascii="宋体" w:hAnsi="宋体" w:eastAsia="宋体" w:cstheme="majorHAnsi"/>
        </w:rPr>
        <w:t>下）</w:t>
      </w:r>
      <w:r>
        <w:rPr>
          <w:rFonts w:hint="eastAsia" w:ascii="宋体" w:hAnsi="宋体" w:eastAsia="宋体" w:cstheme="majorHAnsi"/>
        </w:rPr>
        <w:t>。</w:t>
      </w:r>
      <w:r>
        <w:rPr>
          <w:rFonts w:ascii="宋体" w:hAnsi="宋体" w:eastAsia="宋体" w:cstheme="majorHAnsi"/>
        </w:rPr>
        <w:t>其中，100亿市值以下上市公司合计亏损家数达856家，占所有亏损上市公司数量的84.67%。</w:t>
      </w:r>
    </w:p>
    <w:p>
      <w:pPr>
        <w:rPr>
          <w:rFonts w:ascii="宋体" w:hAnsi="宋体" w:eastAsia="宋体" w:cstheme="majorHAnsi"/>
        </w:rPr>
      </w:pPr>
      <w:r>
        <w:rPr>
          <w:rFonts w:ascii="宋体" w:hAnsi="宋体" w:eastAsia="宋体" w:cstheme="majorHAnsi"/>
        </w:rPr>
        <w:t>从各市值区间的亏损表现具体情况来看：（1）市值50亿元以下的公司，合计净利润为426.99亿元，跌幅37.31%，其中有625家公司亏损，数量较去年增加91家，占全部亏损公司数量的六成以上。这类公司的外部环境变化风险承受能力较弱，净利润总额发生亏损，根据数据统计亏损总金额达403.71亿元；（2）市值50-100亿元的公司及市值100-500亿元的公司，分别有231家、143家公司发生亏损，数量与去年接近；（3）市值500-1000亿元的公司，合计净利润同比增长133.97%，其中有7家公司发生亏损；（5）市值1000亿元以上的公司发生亏损的有4家。上述可见，随着市值区间的提升，亏损上市公司数量显著下降，改善中小市值公司营运能力，增强企业活力与韧性仍是资本市场发展的重要议题。</w:t>
      </w:r>
    </w:p>
    <w:p>
      <w:pPr>
        <w:pStyle w:val="7"/>
        <w:rPr>
          <w:rFonts w:ascii="宋体" w:hAnsi="宋体"/>
        </w:rPr>
      </w:pPr>
      <w:r>
        <w:rPr>
          <w:rFonts w:ascii="宋体" w:hAnsi="宋体"/>
        </w:rPr>
        <w:t xml:space="preserve">表 </w:t>
      </w:r>
      <w:r>
        <w:rPr>
          <w:rFonts w:ascii="宋体" w:hAnsi="宋体"/>
        </w:rPr>
        <w:fldChar w:fldCharType="begin"/>
      </w:r>
      <w:r>
        <w:rPr>
          <w:rFonts w:ascii="宋体" w:hAnsi="宋体"/>
        </w:rPr>
        <w:instrText xml:space="preserve"> SEQ 表 \* ARABIC </w:instrText>
      </w:r>
      <w:r>
        <w:rPr>
          <w:rFonts w:ascii="宋体" w:hAnsi="宋体"/>
        </w:rPr>
        <w:fldChar w:fldCharType="separate"/>
      </w:r>
      <w:r>
        <w:rPr>
          <w:rFonts w:ascii="宋体" w:hAnsi="宋体"/>
        </w:rPr>
        <w:t>12</w:t>
      </w:r>
      <w:r>
        <w:rPr>
          <w:rFonts w:ascii="宋体" w:hAnsi="宋体"/>
        </w:rPr>
        <w:fldChar w:fldCharType="end"/>
      </w:r>
      <w:r>
        <w:rPr>
          <w:rFonts w:ascii="宋体" w:hAnsi="宋体"/>
        </w:rPr>
        <w:t xml:space="preserve"> 2023年不同</w:t>
      </w:r>
      <w:r>
        <w:rPr>
          <w:rFonts w:hint="eastAsia" w:ascii="宋体" w:hAnsi="宋体"/>
        </w:rPr>
        <w:t>市值</w:t>
      </w:r>
      <w:r>
        <w:rPr>
          <w:rFonts w:ascii="宋体" w:hAnsi="宋体"/>
        </w:rPr>
        <w:t>区间上市公司表现情况</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936"/>
        <w:gridCol w:w="936"/>
        <w:gridCol w:w="780"/>
        <w:gridCol w:w="780"/>
        <w:gridCol w:w="756"/>
        <w:gridCol w:w="756"/>
        <w:gridCol w:w="580"/>
        <w:gridCol w:w="590"/>
        <w:gridCol w:w="780"/>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509" w:type="pct"/>
            <w:vMerge w:val="restart"/>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市值区间</w:t>
            </w:r>
          </w:p>
        </w:tc>
        <w:tc>
          <w:tcPr>
            <w:tcW w:w="1074" w:type="pct"/>
            <w:gridSpan w:val="2"/>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净利润总额</w:t>
            </w:r>
          </w:p>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（亿元）</w:t>
            </w:r>
          </w:p>
        </w:tc>
        <w:tc>
          <w:tcPr>
            <w:tcW w:w="929" w:type="pct"/>
            <w:gridSpan w:val="2"/>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净利润占比</w:t>
            </w:r>
          </w:p>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w:t>
            </w:r>
          </w:p>
        </w:tc>
        <w:tc>
          <w:tcPr>
            <w:tcW w:w="857" w:type="pct"/>
            <w:gridSpan w:val="2"/>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平均净利润</w:t>
            </w:r>
          </w:p>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（亿元）</w:t>
            </w:r>
          </w:p>
        </w:tc>
        <w:tc>
          <w:tcPr>
            <w:tcW w:w="702" w:type="pct"/>
            <w:gridSpan w:val="2"/>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亏损公司数量（家）</w:t>
            </w:r>
          </w:p>
        </w:tc>
        <w:tc>
          <w:tcPr>
            <w:tcW w:w="929" w:type="pct"/>
            <w:gridSpan w:val="2"/>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亏损公司数量占比</w:t>
            </w:r>
          </w:p>
          <w:p>
            <w:pPr>
              <w:widowControl/>
              <w:ind w:firstLine="0" w:firstLineChars="0"/>
              <w:jc w:val="center"/>
              <w:textAlignment w:val="center"/>
              <w:rPr>
                <w:rFonts w:ascii="宋体" w:hAnsi="宋体" w:eastAsia="宋体" w:cstheme="majorHAnsi"/>
                <w:b/>
                <w:bCs/>
                <w:color w:val="000000"/>
                <w:kern w:val="0"/>
                <w:sz w:val="18"/>
                <w:szCs w:val="18"/>
                <w:lang w:bidi="ar"/>
              </w:rPr>
            </w:pPr>
            <w:r>
              <w:rPr>
                <w:rFonts w:ascii="宋体" w:hAnsi="宋体" w:eastAsia="宋体" w:cstheme="majorHAnsi"/>
                <w:b/>
                <w:bCs/>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09" w:type="pct"/>
            <w:vMerge w:val="continue"/>
            <w:shd w:val="clear" w:color="auto" w:fill="E7E6E6" w:themeFill="background2"/>
            <w:vAlign w:val="center"/>
          </w:tcPr>
          <w:p>
            <w:pPr>
              <w:ind w:firstLine="0" w:firstLineChars="0"/>
              <w:jc w:val="center"/>
              <w:rPr>
                <w:rFonts w:ascii="宋体" w:hAnsi="宋体" w:eastAsia="宋体" w:cstheme="majorHAnsi"/>
                <w:b/>
                <w:bCs/>
                <w:color w:val="000000"/>
                <w:sz w:val="18"/>
                <w:szCs w:val="18"/>
              </w:rPr>
            </w:pPr>
          </w:p>
        </w:tc>
        <w:tc>
          <w:tcPr>
            <w:tcW w:w="537" w:type="pct"/>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2022</w:t>
            </w:r>
          </w:p>
        </w:tc>
        <w:tc>
          <w:tcPr>
            <w:tcW w:w="537" w:type="pct"/>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2023</w:t>
            </w:r>
          </w:p>
        </w:tc>
        <w:tc>
          <w:tcPr>
            <w:tcW w:w="465" w:type="pct"/>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2022</w:t>
            </w:r>
          </w:p>
        </w:tc>
        <w:tc>
          <w:tcPr>
            <w:tcW w:w="465" w:type="pct"/>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2023</w:t>
            </w:r>
          </w:p>
        </w:tc>
        <w:tc>
          <w:tcPr>
            <w:tcW w:w="429" w:type="pct"/>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2022</w:t>
            </w:r>
          </w:p>
        </w:tc>
        <w:tc>
          <w:tcPr>
            <w:tcW w:w="429" w:type="pct"/>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2023</w:t>
            </w:r>
          </w:p>
        </w:tc>
        <w:tc>
          <w:tcPr>
            <w:tcW w:w="348" w:type="pct"/>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2022</w:t>
            </w:r>
          </w:p>
        </w:tc>
        <w:tc>
          <w:tcPr>
            <w:tcW w:w="353" w:type="pct"/>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2023</w:t>
            </w:r>
          </w:p>
        </w:tc>
        <w:tc>
          <w:tcPr>
            <w:tcW w:w="465" w:type="pct"/>
            <w:shd w:val="clear" w:color="auto" w:fill="E7E6E6" w:themeFill="background2"/>
            <w:vAlign w:val="center"/>
          </w:tcPr>
          <w:p>
            <w:pPr>
              <w:widowControl/>
              <w:ind w:firstLine="0" w:firstLineChars="0"/>
              <w:jc w:val="center"/>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2022</w:t>
            </w:r>
          </w:p>
        </w:tc>
        <w:tc>
          <w:tcPr>
            <w:tcW w:w="465" w:type="pct"/>
            <w:shd w:val="clear" w:color="auto" w:fill="E7E6E6" w:themeFill="background2"/>
            <w:vAlign w:val="center"/>
          </w:tcPr>
          <w:p>
            <w:pPr>
              <w:widowControl/>
              <w:ind w:firstLine="0" w:firstLineChars="0"/>
              <w:jc w:val="center"/>
              <w:textAlignment w:val="center"/>
              <w:rPr>
                <w:rFonts w:ascii="宋体" w:hAnsi="宋体" w:eastAsia="宋体" w:cstheme="majorHAnsi"/>
                <w:sz w:val="18"/>
                <w:szCs w:val="18"/>
              </w:rPr>
            </w:pPr>
            <w:r>
              <w:rPr>
                <w:rFonts w:ascii="宋体" w:hAnsi="宋体" w:eastAsia="宋体" w:cstheme="majorHAnsi"/>
                <w:b/>
                <w:bCs/>
                <w:color w:val="000000"/>
                <w:kern w:val="0"/>
                <w:sz w:val="18"/>
                <w:szCs w:val="18"/>
                <w:lang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509" w:type="pct"/>
            <w:shd w:val="clear" w:color="auto" w:fill="auto"/>
            <w:vAlign w:val="center"/>
          </w:tcPr>
          <w:p>
            <w:pPr>
              <w:widowControl/>
              <w:ind w:firstLine="0" w:firstLineChars="0"/>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万亿以上</w:t>
            </w:r>
          </w:p>
        </w:tc>
        <w:tc>
          <w:tcPr>
            <w:tcW w:w="537"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4910.76</w:t>
            </w:r>
          </w:p>
        </w:tc>
        <w:tc>
          <w:tcPr>
            <w:tcW w:w="537"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4489.52</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16.12%</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15.24%</w:t>
            </w:r>
          </w:p>
        </w:tc>
        <w:tc>
          <w:tcPr>
            <w:tcW w:w="429"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818.46</w:t>
            </w:r>
          </w:p>
        </w:tc>
        <w:tc>
          <w:tcPr>
            <w:tcW w:w="429"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897.90</w:t>
            </w:r>
          </w:p>
        </w:tc>
        <w:tc>
          <w:tcPr>
            <w:tcW w:w="348" w:type="pct"/>
            <w:shd w:val="clear" w:color="auto" w:fill="auto"/>
            <w:vAlign w:val="center"/>
          </w:tcPr>
          <w:p>
            <w:pPr>
              <w:widowControl/>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0</w:t>
            </w:r>
          </w:p>
        </w:tc>
        <w:tc>
          <w:tcPr>
            <w:tcW w:w="353" w:type="pct"/>
            <w:shd w:val="clear" w:color="auto" w:fill="auto"/>
            <w:vAlign w:val="center"/>
          </w:tcPr>
          <w:p>
            <w:pPr>
              <w:widowControl/>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0</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0</w:t>
            </w:r>
          </w:p>
        </w:tc>
        <w:tc>
          <w:tcPr>
            <w:tcW w:w="465" w:type="pct"/>
            <w:shd w:val="clear" w:color="auto" w:fill="auto"/>
            <w:vAlign w:val="center"/>
          </w:tcPr>
          <w:p>
            <w:pPr>
              <w:widowControl/>
              <w:ind w:firstLine="0" w:firstLineChars="0"/>
              <w:jc w:val="right"/>
              <w:textAlignment w:val="center"/>
              <w:rPr>
                <w:rFonts w:ascii="宋体" w:hAnsi="宋体" w:eastAsia="宋体" w:cstheme="majorHAnsi"/>
                <w:sz w:val="18"/>
                <w:szCs w:val="18"/>
              </w:rPr>
            </w:pPr>
            <w:r>
              <w:rPr>
                <w:rFonts w:ascii="宋体" w:hAnsi="宋体" w:eastAsia="宋体" w:cstheme="majorHAnsi"/>
                <w:color w:val="000000"/>
                <w:kern w:val="0"/>
                <w:sz w:val="18"/>
                <w:szCs w:val="18"/>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509" w:type="pct"/>
            <w:shd w:val="clear" w:color="auto" w:fill="auto"/>
            <w:vAlign w:val="center"/>
          </w:tcPr>
          <w:p>
            <w:pPr>
              <w:widowControl/>
              <w:ind w:firstLine="0" w:firstLineChars="0"/>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1000亿-10000亿</w:t>
            </w:r>
          </w:p>
        </w:tc>
        <w:tc>
          <w:tcPr>
            <w:tcW w:w="537"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14801.17</w:t>
            </w:r>
          </w:p>
        </w:tc>
        <w:tc>
          <w:tcPr>
            <w:tcW w:w="537"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11862.92</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48.59%</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40.26%</w:t>
            </w:r>
          </w:p>
        </w:tc>
        <w:tc>
          <w:tcPr>
            <w:tcW w:w="429"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126.51</w:t>
            </w:r>
          </w:p>
        </w:tc>
        <w:tc>
          <w:tcPr>
            <w:tcW w:w="429"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112.98</w:t>
            </w:r>
          </w:p>
        </w:tc>
        <w:tc>
          <w:tcPr>
            <w:tcW w:w="348" w:type="pct"/>
            <w:shd w:val="clear" w:color="auto" w:fill="auto"/>
            <w:vAlign w:val="center"/>
          </w:tcPr>
          <w:p>
            <w:pPr>
              <w:widowControl/>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4</w:t>
            </w:r>
          </w:p>
        </w:tc>
        <w:tc>
          <w:tcPr>
            <w:tcW w:w="353" w:type="pct"/>
            <w:shd w:val="clear" w:color="auto" w:fill="auto"/>
            <w:vAlign w:val="center"/>
          </w:tcPr>
          <w:p>
            <w:pPr>
              <w:widowControl/>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5</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0.45%</w:t>
            </w:r>
          </w:p>
        </w:tc>
        <w:tc>
          <w:tcPr>
            <w:tcW w:w="465" w:type="pct"/>
            <w:shd w:val="clear" w:color="auto" w:fill="auto"/>
            <w:vAlign w:val="center"/>
          </w:tcPr>
          <w:p>
            <w:pPr>
              <w:widowControl/>
              <w:ind w:firstLine="0" w:firstLineChars="0"/>
              <w:jc w:val="right"/>
              <w:textAlignment w:val="center"/>
              <w:rPr>
                <w:rFonts w:ascii="宋体" w:hAnsi="宋体" w:eastAsia="宋体" w:cstheme="majorHAnsi"/>
                <w:sz w:val="18"/>
                <w:szCs w:val="18"/>
              </w:rPr>
            </w:pPr>
            <w:r>
              <w:rPr>
                <w:rFonts w:ascii="宋体" w:hAnsi="宋体" w:eastAsia="宋体" w:cstheme="majorHAnsi"/>
                <w:color w:val="000000"/>
                <w:kern w:val="0"/>
                <w:sz w:val="18"/>
                <w:szCs w:val="18"/>
                <w:lang w:bidi="ar"/>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509" w:type="pct"/>
            <w:shd w:val="clear" w:color="auto" w:fill="auto"/>
            <w:vAlign w:val="center"/>
          </w:tcPr>
          <w:p>
            <w:pPr>
              <w:widowControl/>
              <w:ind w:firstLine="0" w:firstLineChars="0"/>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500亿-1000亿</w:t>
            </w:r>
          </w:p>
        </w:tc>
        <w:tc>
          <w:tcPr>
            <w:tcW w:w="537"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2725.82</w:t>
            </w:r>
          </w:p>
        </w:tc>
        <w:tc>
          <w:tcPr>
            <w:tcW w:w="537"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6377.70</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8.95%</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21.65%</w:t>
            </w:r>
          </w:p>
        </w:tc>
        <w:tc>
          <w:tcPr>
            <w:tcW w:w="429"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20.34</w:t>
            </w:r>
          </w:p>
        </w:tc>
        <w:tc>
          <w:tcPr>
            <w:tcW w:w="429"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45.88</w:t>
            </w:r>
          </w:p>
        </w:tc>
        <w:tc>
          <w:tcPr>
            <w:tcW w:w="348" w:type="pct"/>
            <w:shd w:val="clear" w:color="auto" w:fill="auto"/>
            <w:vAlign w:val="center"/>
          </w:tcPr>
          <w:p>
            <w:pPr>
              <w:widowControl/>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15</w:t>
            </w:r>
          </w:p>
        </w:tc>
        <w:tc>
          <w:tcPr>
            <w:tcW w:w="353" w:type="pct"/>
            <w:shd w:val="clear" w:color="auto" w:fill="auto"/>
            <w:vAlign w:val="center"/>
          </w:tcPr>
          <w:p>
            <w:pPr>
              <w:widowControl/>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7</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1.70%</w:t>
            </w:r>
          </w:p>
        </w:tc>
        <w:tc>
          <w:tcPr>
            <w:tcW w:w="465" w:type="pct"/>
            <w:shd w:val="clear" w:color="auto" w:fill="auto"/>
            <w:vAlign w:val="center"/>
          </w:tcPr>
          <w:p>
            <w:pPr>
              <w:widowControl/>
              <w:ind w:firstLine="0" w:firstLineChars="0"/>
              <w:jc w:val="right"/>
              <w:textAlignment w:val="center"/>
              <w:rPr>
                <w:rFonts w:ascii="宋体" w:hAnsi="宋体" w:eastAsia="宋体" w:cstheme="majorHAnsi"/>
                <w:sz w:val="18"/>
                <w:szCs w:val="18"/>
              </w:rPr>
            </w:pPr>
            <w:r>
              <w:rPr>
                <w:rFonts w:ascii="宋体" w:hAnsi="宋体" w:eastAsia="宋体" w:cstheme="majorHAnsi"/>
                <w:color w:val="000000"/>
                <w:kern w:val="0"/>
                <w:sz w:val="18"/>
                <w:szCs w:val="18"/>
                <w:lang w:bidi="ar"/>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509" w:type="pct"/>
            <w:shd w:val="clear" w:color="auto" w:fill="auto"/>
            <w:vAlign w:val="center"/>
          </w:tcPr>
          <w:p>
            <w:pPr>
              <w:widowControl/>
              <w:ind w:firstLine="0" w:firstLineChars="0"/>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100亿-500亿）</w:t>
            </w:r>
          </w:p>
        </w:tc>
        <w:tc>
          <w:tcPr>
            <w:tcW w:w="537"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5934.63</w:t>
            </w:r>
          </w:p>
        </w:tc>
        <w:tc>
          <w:tcPr>
            <w:tcW w:w="537"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5302.54</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19.48%</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18.00%</w:t>
            </w:r>
          </w:p>
        </w:tc>
        <w:tc>
          <w:tcPr>
            <w:tcW w:w="429"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4.87</w:t>
            </w:r>
          </w:p>
        </w:tc>
        <w:tc>
          <w:tcPr>
            <w:tcW w:w="429"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4.34</w:t>
            </w:r>
          </w:p>
        </w:tc>
        <w:tc>
          <w:tcPr>
            <w:tcW w:w="348" w:type="pct"/>
            <w:shd w:val="clear" w:color="auto" w:fill="auto"/>
            <w:vAlign w:val="center"/>
          </w:tcPr>
          <w:p>
            <w:pPr>
              <w:widowControl/>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130</w:t>
            </w:r>
          </w:p>
        </w:tc>
        <w:tc>
          <w:tcPr>
            <w:tcW w:w="353" w:type="pct"/>
            <w:shd w:val="clear" w:color="auto" w:fill="auto"/>
            <w:vAlign w:val="center"/>
          </w:tcPr>
          <w:p>
            <w:pPr>
              <w:widowControl/>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143</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14.77%</w:t>
            </w:r>
          </w:p>
        </w:tc>
        <w:tc>
          <w:tcPr>
            <w:tcW w:w="465" w:type="pct"/>
            <w:shd w:val="clear" w:color="auto" w:fill="auto"/>
            <w:vAlign w:val="center"/>
          </w:tcPr>
          <w:p>
            <w:pPr>
              <w:widowControl/>
              <w:ind w:firstLine="0" w:firstLineChars="0"/>
              <w:jc w:val="right"/>
              <w:textAlignment w:val="center"/>
              <w:rPr>
                <w:rFonts w:ascii="宋体" w:hAnsi="宋体" w:eastAsia="宋体" w:cstheme="majorHAnsi"/>
                <w:sz w:val="18"/>
                <w:szCs w:val="18"/>
              </w:rPr>
            </w:pPr>
            <w:r>
              <w:rPr>
                <w:rFonts w:ascii="宋体" w:hAnsi="宋体" w:eastAsia="宋体" w:cstheme="majorHAnsi"/>
                <w:color w:val="000000"/>
                <w:kern w:val="0"/>
                <w:sz w:val="18"/>
                <w:szCs w:val="18"/>
                <w:lang w:bidi="ar"/>
              </w:rPr>
              <w:t>14.14%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509" w:type="pct"/>
            <w:shd w:val="clear" w:color="auto" w:fill="auto"/>
            <w:vAlign w:val="center"/>
          </w:tcPr>
          <w:p>
            <w:pPr>
              <w:widowControl/>
              <w:ind w:firstLine="0" w:firstLineChars="0"/>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50亿-100亿</w:t>
            </w:r>
          </w:p>
        </w:tc>
        <w:tc>
          <w:tcPr>
            <w:tcW w:w="537"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1408.51</w:t>
            </w:r>
          </w:p>
        </w:tc>
        <w:tc>
          <w:tcPr>
            <w:tcW w:w="537"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1004.65</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4.62%</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3.41%</w:t>
            </w:r>
          </w:p>
        </w:tc>
        <w:tc>
          <w:tcPr>
            <w:tcW w:w="429"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1.10</w:t>
            </w:r>
          </w:p>
        </w:tc>
        <w:tc>
          <w:tcPr>
            <w:tcW w:w="429"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0.78</w:t>
            </w:r>
          </w:p>
        </w:tc>
        <w:tc>
          <w:tcPr>
            <w:tcW w:w="348" w:type="pct"/>
            <w:shd w:val="clear" w:color="auto" w:fill="auto"/>
            <w:vAlign w:val="center"/>
          </w:tcPr>
          <w:p>
            <w:pPr>
              <w:widowControl/>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197</w:t>
            </w:r>
          </w:p>
        </w:tc>
        <w:tc>
          <w:tcPr>
            <w:tcW w:w="353" w:type="pct"/>
            <w:shd w:val="clear" w:color="auto" w:fill="auto"/>
            <w:vAlign w:val="center"/>
          </w:tcPr>
          <w:p>
            <w:pPr>
              <w:widowControl/>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231</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22.39%</w:t>
            </w:r>
          </w:p>
        </w:tc>
        <w:tc>
          <w:tcPr>
            <w:tcW w:w="465" w:type="pct"/>
            <w:shd w:val="clear" w:color="auto" w:fill="auto"/>
            <w:vAlign w:val="center"/>
          </w:tcPr>
          <w:p>
            <w:pPr>
              <w:widowControl/>
              <w:ind w:firstLine="0" w:firstLineChars="0"/>
              <w:jc w:val="right"/>
              <w:textAlignment w:val="center"/>
              <w:rPr>
                <w:rFonts w:ascii="宋体" w:hAnsi="宋体" w:eastAsia="宋体" w:cstheme="majorHAnsi"/>
                <w:sz w:val="18"/>
                <w:szCs w:val="18"/>
              </w:rPr>
            </w:pPr>
            <w:r>
              <w:rPr>
                <w:rFonts w:ascii="宋体" w:hAnsi="宋体" w:eastAsia="宋体" w:cstheme="majorHAnsi"/>
                <w:color w:val="000000"/>
                <w:kern w:val="0"/>
                <w:sz w:val="18"/>
                <w:szCs w:val="18"/>
                <w:lang w:bidi="ar"/>
              </w:rPr>
              <w:t>22.85%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09" w:type="pct"/>
            <w:shd w:val="clear" w:color="auto" w:fill="auto"/>
            <w:vAlign w:val="center"/>
          </w:tcPr>
          <w:p>
            <w:pPr>
              <w:widowControl/>
              <w:ind w:firstLine="0" w:firstLineChars="0"/>
              <w:textAlignment w:val="center"/>
              <w:rPr>
                <w:rFonts w:ascii="宋体" w:hAnsi="宋体" w:eastAsia="宋体" w:cstheme="majorHAnsi"/>
                <w:b/>
                <w:bCs/>
                <w:color w:val="000000"/>
                <w:sz w:val="18"/>
                <w:szCs w:val="18"/>
              </w:rPr>
            </w:pPr>
            <w:r>
              <w:rPr>
                <w:rFonts w:ascii="宋体" w:hAnsi="宋体" w:eastAsia="宋体" w:cstheme="majorHAnsi"/>
                <w:b/>
                <w:bCs/>
                <w:color w:val="000000"/>
                <w:kern w:val="0"/>
                <w:sz w:val="18"/>
                <w:szCs w:val="18"/>
                <w:lang w:bidi="ar"/>
              </w:rPr>
              <w:t>50亿以下</w:t>
            </w:r>
          </w:p>
        </w:tc>
        <w:tc>
          <w:tcPr>
            <w:tcW w:w="537"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681.12</w:t>
            </w:r>
          </w:p>
        </w:tc>
        <w:tc>
          <w:tcPr>
            <w:tcW w:w="537"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426.99</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2.24%</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1.45%</w:t>
            </w:r>
          </w:p>
        </w:tc>
        <w:tc>
          <w:tcPr>
            <w:tcW w:w="429"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0.28</w:t>
            </w:r>
          </w:p>
        </w:tc>
        <w:tc>
          <w:tcPr>
            <w:tcW w:w="429"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0.18</w:t>
            </w:r>
          </w:p>
        </w:tc>
        <w:tc>
          <w:tcPr>
            <w:tcW w:w="348" w:type="pct"/>
            <w:shd w:val="clear" w:color="auto" w:fill="auto"/>
            <w:vAlign w:val="center"/>
          </w:tcPr>
          <w:p>
            <w:pPr>
              <w:widowControl/>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534</w:t>
            </w:r>
          </w:p>
        </w:tc>
        <w:tc>
          <w:tcPr>
            <w:tcW w:w="353" w:type="pct"/>
            <w:shd w:val="clear" w:color="auto" w:fill="auto"/>
            <w:vAlign w:val="center"/>
          </w:tcPr>
          <w:p>
            <w:pPr>
              <w:widowControl/>
              <w:ind w:firstLine="0" w:firstLineChars="0"/>
              <w:jc w:val="right"/>
              <w:textAlignment w:val="center"/>
              <w:rPr>
                <w:rFonts w:ascii="宋体" w:hAnsi="宋体" w:eastAsia="宋体" w:cstheme="majorHAnsi"/>
                <w:color w:val="000000"/>
                <w:sz w:val="18"/>
                <w:szCs w:val="18"/>
              </w:rPr>
            </w:pPr>
            <w:r>
              <w:rPr>
                <w:rFonts w:ascii="宋体" w:hAnsi="宋体" w:eastAsia="宋体" w:cstheme="majorHAnsi"/>
                <w:color w:val="000000"/>
                <w:kern w:val="0"/>
                <w:sz w:val="18"/>
                <w:szCs w:val="18"/>
                <w:lang w:bidi="ar"/>
              </w:rPr>
              <w:t>625</w:t>
            </w:r>
          </w:p>
        </w:tc>
        <w:tc>
          <w:tcPr>
            <w:tcW w:w="465" w:type="pct"/>
            <w:shd w:val="clear" w:color="auto" w:fill="auto"/>
            <w:vAlign w:val="center"/>
          </w:tcPr>
          <w:p>
            <w:pPr>
              <w:widowControl/>
              <w:ind w:firstLine="0" w:firstLineChars="0"/>
              <w:jc w:val="right"/>
              <w:textAlignment w:val="center"/>
              <w:rPr>
                <w:rFonts w:ascii="宋体" w:hAnsi="宋体" w:eastAsia="宋体" w:cstheme="majorHAnsi"/>
                <w:color w:val="000000"/>
                <w:kern w:val="0"/>
                <w:sz w:val="18"/>
                <w:szCs w:val="18"/>
                <w:lang w:bidi="ar"/>
              </w:rPr>
            </w:pPr>
            <w:r>
              <w:rPr>
                <w:rFonts w:ascii="宋体" w:hAnsi="宋体" w:eastAsia="宋体" w:cstheme="majorHAnsi"/>
                <w:color w:val="000000"/>
                <w:kern w:val="0"/>
                <w:sz w:val="18"/>
                <w:szCs w:val="18"/>
                <w:lang w:bidi="ar"/>
              </w:rPr>
              <w:t>60.68%</w:t>
            </w:r>
          </w:p>
        </w:tc>
        <w:tc>
          <w:tcPr>
            <w:tcW w:w="465" w:type="pct"/>
            <w:shd w:val="clear" w:color="auto" w:fill="auto"/>
            <w:vAlign w:val="center"/>
          </w:tcPr>
          <w:p>
            <w:pPr>
              <w:widowControl/>
              <w:ind w:firstLine="0" w:firstLineChars="0"/>
              <w:jc w:val="right"/>
              <w:textAlignment w:val="center"/>
              <w:rPr>
                <w:rFonts w:ascii="宋体" w:hAnsi="宋体" w:eastAsia="宋体" w:cstheme="majorHAnsi"/>
                <w:sz w:val="18"/>
                <w:szCs w:val="18"/>
              </w:rPr>
            </w:pPr>
            <w:r>
              <w:rPr>
                <w:rFonts w:ascii="宋体" w:hAnsi="宋体" w:eastAsia="宋体" w:cstheme="majorHAnsi"/>
                <w:color w:val="000000"/>
                <w:kern w:val="0"/>
                <w:sz w:val="18"/>
                <w:szCs w:val="18"/>
                <w:lang w:bidi="ar"/>
              </w:rPr>
              <w:t>61.82%</w:t>
            </w:r>
          </w:p>
        </w:tc>
      </w:tr>
    </w:tbl>
    <w:p>
      <w:pPr>
        <w:pStyle w:val="44"/>
        <w:rPr>
          <w:rFonts w:ascii="宋体" w:hAnsi="宋体"/>
        </w:rPr>
      </w:pPr>
      <w:r>
        <w:rPr>
          <w:rFonts w:ascii="宋体" w:hAnsi="宋体"/>
        </w:rPr>
        <w:t>数据来源：Choice、易董研究所整理</w:t>
      </w:r>
    </w:p>
    <w:p>
      <w:pPr>
        <w:rPr>
          <w:rFonts w:ascii="宋体" w:hAnsi="宋体" w:eastAsia="宋体" w:cstheme="majorHAnsi"/>
        </w:rPr>
      </w:pPr>
    </w:p>
    <w:p>
      <w:pPr>
        <w:pStyle w:val="4"/>
      </w:pPr>
      <w:bookmarkStart w:id="204" w:name="_Toc148969289"/>
      <w:r>
        <w:rPr>
          <w:rFonts w:hint="eastAsia"/>
        </w:rPr>
        <w:t>超六成通过五套标准上市药企仍未盈利，需加快产品研发进程尽快实现盈利增长</w:t>
      </w:r>
      <w:bookmarkEnd w:id="204"/>
    </w:p>
    <w:p>
      <w:pPr>
        <w:rPr>
          <w:rFonts w:ascii="宋体" w:hAnsi="宋体" w:eastAsia="宋体" w:cstheme="majorHAnsi"/>
        </w:rPr>
      </w:pPr>
      <w:r>
        <w:rPr>
          <w:rFonts w:hint="eastAsia" w:ascii="宋体" w:hAnsi="宋体" w:eastAsia="宋体" w:cstheme="majorHAnsi"/>
        </w:rPr>
        <w:t>截至2</w:t>
      </w:r>
      <w:r>
        <w:rPr>
          <w:rFonts w:ascii="宋体" w:hAnsi="宋体" w:eastAsia="宋体" w:cstheme="majorHAnsi"/>
        </w:rPr>
        <w:t>023</w:t>
      </w:r>
      <w:r>
        <w:rPr>
          <w:rFonts w:hint="eastAsia" w:ascii="宋体" w:hAnsi="宋体" w:eastAsia="宋体" w:cstheme="majorHAnsi"/>
        </w:rPr>
        <w:t>年6月</w:t>
      </w:r>
      <w:r>
        <w:rPr>
          <w:rFonts w:ascii="宋体" w:hAnsi="宋体" w:eastAsia="宋体" w:cstheme="majorHAnsi"/>
        </w:rPr>
        <w:t>30</w:t>
      </w:r>
      <w:r>
        <w:rPr>
          <w:rFonts w:hint="eastAsia" w:ascii="宋体" w:hAnsi="宋体" w:eastAsia="宋体" w:cstheme="majorHAnsi"/>
        </w:rPr>
        <w:t>日，</w:t>
      </w:r>
      <w:r>
        <w:rPr>
          <w:rFonts w:hint="eastAsia" w:ascii="宋体" w:hAnsi="宋体" w:eastAsia="宋体" w:cstheme="majorHAnsi"/>
          <w:b/>
          <w:bCs/>
        </w:rPr>
        <w:t>累计已有</w:t>
      </w:r>
      <w:r>
        <w:rPr>
          <w:rFonts w:ascii="宋体" w:hAnsi="宋体" w:eastAsia="宋体" w:cstheme="majorHAnsi"/>
          <w:b/>
          <w:bCs/>
        </w:rPr>
        <w:t>20家创新生物医药企业通过第五套标准登陆科创板</w:t>
      </w:r>
      <w:r>
        <w:rPr>
          <w:rFonts w:hint="eastAsia" w:ascii="宋体" w:hAnsi="宋体" w:eastAsia="宋体" w:cstheme="majorHAnsi"/>
          <w:b/>
          <w:bCs/>
        </w:rPr>
        <w:t>，</w:t>
      </w:r>
      <w:r>
        <w:rPr>
          <w:rFonts w:hint="eastAsia" w:ascii="宋体" w:hAnsi="宋体" w:eastAsia="宋体" w:cstheme="majorHAnsi"/>
        </w:rPr>
        <w:t>IPO合计募资约429亿元，总市值达</w:t>
      </w:r>
      <w:r>
        <w:rPr>
          <w:rFonts w:ascii="宋体" w:hAnsi="宋体" w:eastAsia="宋体" w:cstheme="majorHAnsi"/>
        </w:rPr>
        <w:t>2294.47</w:t>
      </w:r>
      <w:r>
        <w:rPr>
          <w:rFonts w:hint="eastAsia" w:ascii="宋体" w:hAnsi="宋体" w:eastAsia="宋体" w:cstheme="majorHAnsi"/>
        </w:rPr>
        <w:t>亿元，总营收</w:t>
      </w:r>
      <w:r>
        <w:rPr>
          <w:rFonts w:ascii="宋体" w:hAnsi="宋体" w:eastAsia="宋体" w:cstheme="majorHAnsi"/>
        </w:rPr>
        <w:t>2294.47</w:t>
      </w:r>
      <w:r>
        <w:rPr>
          <w:rFonts w:hint="eastAsia" w:ascii="宋体" w:hAnsi="宋体" w:eastAsia="宋体" w:cstheme="majorHAnsi"/>
        </w:rPr>
        <w:t>亿元。</w:t>
      </w:r>
      <w:r>
        <w:rPr>
          <w:rFonts w:hint="eastAsia" w:ascii="宋体" w:hAnsi="宋体" w:eastAsia="宋体" w:cstheme="majorHAnsi"/>
          <w:b/>
          <w:bCs/>
        </w:rPr>
        <w:t>其中，1</w:t>
      </w:r>
      <w:r>
        <w:rPr>
          <w:rFonts w:ascii="宋体" w:hAnsi="宋体" w:eastAsia="宋体" w:cstheme="majorHAnsi"/>
          <w:b/>
          <w:bCs/>
        </w:rPr>
        <w:t>5</w:t>
      </w:r>
      <w:r>
        <w:rPr>
          <w:rFonts w:hint="eastAsia" w:ascii="宋体" w:hAnsi="宋体" w:eastAsia="宋体" w:cstheme="majorHAnsi"/>
          <w:b/>
          <w:bCs/>
        </w:rPr>
        <w:t>家上市公司仍处于亏损，占比为7</w:t>
      </w:r>
      <w:r>
        <w:rPr>
          <w:rFonts w:ascii="宋体" w:hAnsi="宋体" w:eastAsia="宋体" w:cstheme="majorHAnsi"/>
          <w:b/>
          <w:bCs/>
        </w:rPr>
        <w:t>5%</w:t>
      </w:r>
      <w:r>
        <w:rPr>
          <w:rFonts w:hint="eastAsia" w:ascii="宋体" w:hAnsi="宋体" w:eastAsia="宋体" w:cstheme="majorHAnsi"/>
          <w:b/>
          <w:bCs/>
        </w:rPr>
        <w:t>；</w:t>
      </w:r>
      <w:r>
        <w:rPr>
          <w:rFonts w:hint="eastAsia" w:ascii="宋体" w:hAnsi="宋体" w:eastAsia="宋体" w:cstheme="majorHAnsi"/>
        </w:rPr>
        <w:t>上市后有7家企业实现盈利，成功摘U，在7家摘U企业中，仅有3家企业实现连续2个年度以上盈利，收入来源为已实现商业化产品的销售收入等，</w:t>
      </w:r>
      <w:r>
        <w:rPr>
          <w:rFonts w:hint="eastAsia" w:ascii="宋体" w:hAnsi="宋体" w:eastAsia="宋体" w:cstheme="majorHAnsi"/>
          <w:b/>
          <w:bCs/>
        </w:rPr>
        <w:t>仍有1</w:t>
      </w:r>
      <w:r>
        <w:rPr>
          <w:rFonts w:ascii="宋体" w:hAnsi="宋体" w:eastAsia="宋体" w:cstheme="majorHAnsi"/>
          <w:b/>
          <w:bCs/>
        </w:rPr>
        <w:t>3</w:t>
      </w:r>
      <w:r>
        <w:rPr>
          <w:rFonts w:hint="eastAsia" w:ascii="宋体" w:hAnsi="宋体" w:eastAsia="宋体" w:cstheme="majorHAnsi"/>
          <w:b/>
          <w:bCs/>
        </w:rPr>
        <w:t>家上市公司从未盈利，占比为6</w:t>
      </w:r>
      <w:r>
        <w:rPr>
          <w:rFonts w:ascii="宋体" w:hAnsi="宋体" w:eastAsia="宋体" w:cstheme="majorHAnsi"/>
          <w:b/>
          <w:bCs/>
        </w:rPr>
        <w:t>5%</w:t>
      </w:r>
      <w:r>
        <w:rPr>
          <w:rFonts w:hint="eastAsia" w:ascii="宋体" w:hAnsi="宋体" w:eastAsia="宋体" w:cstheme="majorHAnsi"/>
          <w:b/>
          <w:bCs/>
        </w:rPr>
        <w:t>。</w:t>
      </w:r>
      <w:r>
        <w:rPr>
          <w:rFonts w:ascii="宋体" w:hAnsi="宋体" w:eastAsia="宋体" w:cstheme="majorHAnsi"/>
          <w:b/>
          <w:bCs/>
        </w:rPr>
        <w:t>100</w:t>
      </w:r>
      <w:r>
        <w:rPr>
          <w:rFonts w:hint="eastAsia" w:ascii="宋体" w:hAnsi="宋体" w:eastAsia="宋体" w:cstheme="majorHAnsi"/>
          <w:b/>
          <w:bCs/>
        </w:rPr>
        <w:t>亿市值以下上市公司共</w:t>
      </w:r>
      <w:r>
        <w:rPr>
          <w:rFonts w:ascii="宋体" w:hAnsi="宋体" w:eastAsia="宋体" w:cstheme="majorHAnsi"/>
          <w:b/>
          <w:bCs/>
        </w:rPr>
        <w:t>11</w:t>
      </w:r>
      <w:r>
        <w:rPr>
          <w:rFonts w:hint="eastAsia" w:ascii="宋体" w:hAnsi="宋体" w:eastAsia="宋体" w:cstheme="majorHAnsi"/>
          <w:b/>
          <w:bCs/>
        </w:rPr>
        <w:t>家，有</w:t>
      </w:r>
      <w:r>
        <w:rPr>
          <w:rFonts w:ascii="宋体" w:hAnsi="宋体" w:eastAsia="宋体" w:cstheme="majorHAnsi"/>
          <w:b/>
          <w:bCs/>
        </w:rPr>
        <w:t>7家处于亏损状态，</w:t>
      </w:r>
      <w:r>
        <w:rPr>
          <w:rFonts w:hint="eastAsia" w:ascii="宋体" w:hAnsi="宋体" w:eastAsia="宋体" w:cstheme="majorHAnsi"/>
          <w:b/>
          <w:bCs/>
        </w:rPr>
        <w:t>占比</w:t>
      </w:r>
      <w:r>
        <w:rPr>
          <w:rFonts w:ascii="宋体" w:hAnsi="宋体" w:eastAsia="宋体" w:cstheme="majorHAnsi"/>
          <w:b/>
          <w:bCs/>
        </w:rPr>
        <w:t>63.64%</w:t>
      </w:r>
      <w:r>
        <w:rPr>
          <w:rFonts w:hint="eastAsia" w:ascii="宋体" w:hAnsi="宋体" w:eastAsia="宋体" w:cstheme="majorHAnsi"/>
          <w:b/>
          <w:bCs/>
        </w:rPr>
        <w:t>。</w:t>
      </w:r>
      <w:r>
        <w:rPr>
          <w:rFonts w:hint="eastAsia" w:ascii="宋体" w:hAnsi="宋体" w:eastAsia="宋体" w:cstheme="majorHAnsi"/>
        </w:rPr>
        <w:t>第五套上市标准的规定体现了科创板的包容性，让更多处于研发阶段、非盈利的企业得到融资，从而更好地研发创新。同时也对企业的未来发展提出了更高的要求，通过科创板第五套标准上市的医药生物企业，大多产品尚处于研发阶段而未实现商业化，此类上市公司需加快产品研发进程，尽快实现盈利增长。</w:t>
      </w:r>
    </w:p>
    <w:p>
      <w:pPr>
        <w:pStyle w:val="7"/>
        <w:rPr>
          <w:rFonts w:ascii="宋体" w:hAnsi="宋体"/>
        </w:rPr>
      </w:pPr>
      <w:r>
        <w:rPr>
          <w:rFonts w:ascii="宋体" w:hAnsi="宋体"/>
        </w:rPr>
        <w:t xml:space="preserve">表 </w:t>
      </w:r>
      <w:r>
        <w:rPr>
          <w:rFonts w:ascii="宋体" w:hAnsi="宋体"/>
        </w:rPr>
        <w:fldChar w:fldCharType="begin"/>
      </w:r>
      <w:r>
        <w:rPr>
          <w:rFonts w:ascii="宋体" w:hAnsi="宋体"/>
        </w:rPr>
        <w:instrText xml:space="preserve"> SEQ 表 \* ARABIC </w:instrText>
      </w:r>
      <w:r>
        <w:rPr>
          <w:rFonts w:ascii="宋体" w:hAnsi="宋体"/>
        </w:rPr>
        <w:fldChar w:fldCharType="separate"/>
      </w:r>
      <w:r>
        <w:rPr>
          <w:rFonts w:ascii="宋体" w:hAnsi="宋体"/>
        </w:rPr>
        <w:t>13</w:t>
      </w:r>
      <w:r>
        <w:rPr>
          <w:rFonts w:ascii="宋体" w:hAnsi="宋体"/>
        </w:rPr>
        <w:fldChar w:fldCharType="end"/>
      </w:r>
      <w:r>
        <w:rPr>
          <w:rFonts w:ascii="宋体" w:hAnsi="宋体"/>
        </w:rPr>
        <w:t xml:space="preserve"> </w:t>
      </w:r>
      <w:r>
        <w:rPr>
          <w:rFonts w:hint="eastAsia" w:ascii="宋体" w:hAnsi="宋体"/>
        </w:rPr>
        <w:t>累计2</w:t>
      </w:r>
      <w:r>
        <w:rPr>
          <w:rFonts w:ascii="宋体" w:hAnsi="宋体"/>
        </w:rPr>
        <w:t>0</w:t>
      </w:r>
      <w:r>
        <w:rPr>
          <w:rFonts w:hint="eastAsia" w:ascii="宋体" w:hAnsi="宋体"/>
        </w:rPr>
        <w:t>家通过第五套标准登陆科创板上市公司</w:t>
      </w:r>
      <w:r>
        <w:rPr>
          <w:rFonts w:ascii="宋体" w:hAnsi="宋体"/>
        </w:rPr>
        <w:t>2023年</w:t>
      </w:r>
      <w:r>
        <w:rPr>
          <w:rFonts w:hint="eastAsia" w:ascii="宋体" w:hAnsi="宋体"/>
        </w:rPr>
        <w:t>上半年</w:t>
      </w:r>
      <w:r>
        <w:rPr>
          <w:rFonts w:ascii="宋体" w:hAnsi="宋体"/>
        </w:rPr>
        <w:t>表现情况</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78"/>
        <w:gridCol w:w="1285"/>
        <w:gridCol w:w="1285"/>
        <w:gridCol w:w="1124"/>
        <w:gridCol w:w="1004"/>
        <w:gridCol w:w="1004"/>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383" w:type="pct"/>
            <w:shd w:val="clear" w:color="auto" w:fill="E7E6E6" w:themeFill="background2"/>
            <w:noWrap/>
            <w:vAlign w:val="center"/>
          </w:tcPr>
          <w:p>
            <w:pPr>
              <w:spacing w:line="240" w:lineRule="auto"/>
              <w:ind w:firstLine="0" w:firstLineChars="0"/>
              <w:jc w:val="center"/>
              <w:rPr>
                <w:rFonts w:ascii="宋体" w:hAnsi="宋体" w:eastAsia="宋体" w:cstheme="majorHAnsi"/>
                <w:b/>
                <w:bCs/>
                <w:sz w:val="18"/>
                <w:szCs w:val="18"/>
              </w:rPr>
            </w:pPr>
            <w:r>
              <w:rPr>
                <w:rFonts w:hint="eastAsia" w:ascii="宋体" w:hAnsi="宋体" w:eastAsia="宋体" w:cstheme="majorHAnsi"/>
                <w:b/>
                <w:bCs/>
                <w:sz w:val="18"/>
                <w:szCs w:val="18"/>
              </w:rPr>
              <w:t>序号</w:t>
            </w:r>
          </w:p>
        </w:tc>
        <w:tc>
          <w:tcPr>
            <w:tcW w:w="700" w:type="pct"/>
            <w:shd w:val="clear" w:color="auto" w:fill="E7E6E6" w:themeFill="background2"/>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证券代码</w:t>
            </w:r>
          </w:p>
        </w:tc>
        <w:tc>
          <w:tcPr>
            <w:tcW w:w="763" w:type="pct"/>
            <w:shd w:val="clear" w:color="auto" w:fill="E7E6E6" w:themeFill="background2"/>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证券简称</w:t>
            </w:r>
          </w:p>
        </w:tc>
        <w:tc>
          <w:tcPr>
            <w:tcW w:w="763" w:type="pct"/>
            <w:shd w:val="clear" w:color="auto" w:fill="E7E6E6" w:themeFill="background2"/>
            <w:vAlign w:val="center"/>
          </w:tcPr>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上市日期</w:t>
            </w:r>
          </w:p>
        </w:tc>
        <w:tc>
          <w:tcPr>
            <w:tcW w:w="598" w:type="pct"/>
            <w:shd w:val="clear" w:color="auto" w:fill="E7E6E6" w:themeFill="background2"/>
            <w:vAlign w:val="center"/>
          </w:tcPr>
          <w:p>
            <w:pPr>
              <w:spacing w:line="240" w:lineRule="auto"/>
              <w:ind w:firstLine="0" w:firstLineChars="0"/>
              <w:jc w:val="center"/>
              <w:rPr>
                <w:rFonts w:ascii="宋体" w:hAnsi="宋体" w:eastAsia="宋体" w:cstheme="majorHAnsi"/>
                <w:b/>
                <w:bCs/>
                <w:sz w:val="18"/>
                <w:szCs w:val="18"/>
              </w:rPr>
            </w:pPr>
            <w:r>
              <w:rPr>
                <w:rFonts w:hint="eastAsia" w:ascii="宋体" w:hAnsi="宋体" w:eastAsia="宋体" w:cstheme="majorHAnsi"/>
                <w:b/>
                <w:bCs/>
                <w:sz w:val="18"/>
                <w:szCs w:val="18"/>
              </w:rPr>
              <w:t>总市值（亿元）</w:t>
            </w:r>
          </w:p>
          <w:p>
            <w:pPr>
              <w:spacing w:line="240" w:lineRule="auto"/>
              <w:ind w:firstLine="0" w:firstLineChars="0"/>
              <w:jc w:val="center"/>
              <w:rPr>
                <w:rFonts w:ascii="宋体" w:hAnsi="宋体" w:eastAsia="宋体" w:cstheme="majorHAnsi"/>
                <w:b/>
                <w:bCs/>
                <w:sz w:val="18"/>
                <w:szCs w:val="18"/>
              </w:rPr>
            </w:pPr>
            <w:r>
              <w:rPr>
                <w:rFonts w:ascii="宋体" w:hAnsi="宋体" w:eastAsia="宋体" w:cstheme="majorHAnsi"/>
                <w:b/>
                <w:bCs/>
                <w:sz w:val="18"/>
                <w:szCs w:val="18"/>
              </w:rPr>
              <w:t>2023-08-31</w:t>
            </w:r>
          </w:p>
        </w:tc>
        <w:tc>
          <w:tcPr>
            <w:tcW w:w="598" w:type="pct"/>
            <w:shd w:val="clear" w:color="auto" w:fill="E7E6E6" w:themeFill="background2"/>
            <w:vAlign w:val="center"/>
          </w:tcPr>
          <w:p>
            <w:pPr>
              <w:spacing w:line="240" w:lineRule="auto"/>
              <w:ind w:firstLine="0" w:firstLineChars="0"/>
              <w:jc w:val="center"/>
              <w:rPr>
                <w:rFonts w:ascii="宋体" w:hAnsi="宋体" w:eastAsia="宋体" w:cstheme="majorHAnsi"/>
                <w:b/>
                <w:bCs/>
                <w:sz w:val="18"/>
                <w:szCs w:val="18"/>
              </w:rPr>
            </w:pPr>
            <w:r>
              <w:rPr>
                <w:rFonts w:hint="eastAsia" w:ascii="宋体" w:hAnsi="宋体" w:eastAsia="宋体" w:cstheme="majorHAnsi"/>
                <w:b/>
                <w:bCs/>
                <w:sz w:val="18"/>
                <w:szCs w:val="18"/>
              </w:rPr>
              <w:t>2</w:t>
            </w:r>
            <w:r>
              <w:rPr>
                <w:rFonts w:ascii="宋体" w:hAnsi="宋体" w:eastAsia="宋体" w:cstheme="majorHAnsi"/>
                <w:b/>
                <w:bCs/>
                <w:sz w:val="18"/>
                <w:szCs w:val="18"/>
              </w:rPr>
              <w:t>023</w:t>
            </w:r>
            <w:r>
              <w:rPr>
                <w:rFonts w:hint="eastAsia" w:ascii="宋体" w:hAnsi="宋体" w:eastAsia="宋体" w:cstheme="majorHAnsi"/>
                <w:b/>
                <w:bCs/>
                <w:sz w:val="18"/>
                <w:szCs w:val="18"/>
              </w:rPr>
              <w:t>年上半年</w:t>
            </w:r>
            <w:r>
              <w:rPr>
                <w:rFonts w:ascii="宋体" w:hAnsi="宋体" w:eastAsia="宋体" w:cstheme="majorHAnsi"/>
                <w:b/>
                <w:bCs/>
                <w:sz w:val="18"/>
                <w:szCs w:val="18"/>
              </w:rPr>
              <w:t>营业收入</w:t>
            </w:r>
          </w:p>
          <w:p>
            <w:pPr>
              <w:spacing w:line="240" w:lineRule="auto"/>
              <w:ind w:firstLine="0" w:firstLineChars="0"/>
              <w:jc w:val="center"/>
              <w:rPr>
                <w:rFonts w:ascii="宋体" w:hAnsi="宋体" w:eastAsia="宋体" w:cstheme="majorHAnsi"/>
                <w:b/>
                <w:bCs/>
                <w:sz w:val="18"/>
                <w:szCs w:val="18"/>
              </w:rPr>
            </w:pPr>
            <w:r>
              <w:rPr>
                <w:rFonts w:hint="eastAsia" w:ascii="宋体" w:hAnsi="宋体" w:eastAsia="宋体" w:cstheme="majorHAnsi"/>
                <w:b/>
                <w:bCs/>
                <w:sz w:val="18"/>
                <w:szCs w:val="18"/>
              </w:rPr>
              <w:t>（</w:t>
            </w:r>
            <w:r>
              <w:rPr>
                <w:rFonts w:ascii="宋体" w:hAnsi="宋体" w:eastAsia="宋体" w:cstheme="majorHAnsi"/>
                <w:b/>
                <w:bCs/>
                <w:sz w:val="18"/>
                <w:szCs w:val="18"/>
              </w:rPr>
              <w:t>亿元</w:t>
            </w:r>
            <w:r>
              <w:rPr>
                <w:rFonts w:hint="eastAsia" w:ascii="宋体" w:hAnsi="宋体" w:eastAsia="宋体" w:cstheme="majorHAnsi"/>
                <w:b/>
                <w:bCs/>
                <w:sz w:val="18"/>
                <w:szCs w:val="18"/>
              </w:rPr>
              <w:t>）</w:t>
            </w:r>
          </w:p>
        </w:tc>
        <w:tc>
          <w:tcPr>
            <w:tcW w:w="598" w:type="pct"/>
            <w:shd w:val="clear" w:color="auto" w:fill="E7E6E6" w:themeFill="background2"/>
            <w:vAlign w:val="center"/>
          </w:tcPr>
          <w:p>
            <w:pPr>
              <w:spacing w:line="240" w:lineRule="auto"/>
              <w:ind w:firstLine="0" w:firstLineChars="0"/>
              <w:jc w:val="center"/>
              <w:rPr>
                <w:rFonts w:ascii="宋体" w:hAnsi="宋体" w:eastAsia="宋体" w:cstheme="majorHAnsi"/>
                <w:b/>
                <w:bCs/>
                <w:sz w:val="18"/>
                <w:szCs w:val="18"/>
              </w:rPr>
            </w:pPr>
            <w:r>
              <w:rPr>
                <w:rFonts w:hint="eastAsia" w:ascii="宋体" w:hAnsi="宋体" w:eastAsia="宋体" w:cstheme="majorHAnsi"/>
                <w:b/>
                <w:bCs/>
                <w:sz w:val="18"/>
                <w:szCs w:val="18"/>
              </w:rPr>
              <w:t>2</w:t>
            </w:r>
            <w:r>
              <w:rPr>
                <w:rFonts w:ascii="宋体" w:hAnsi="宋体" w:eastAsia="宋体" w:cstheme="majorHAnsi"/>
                <w:b/>
                <w:bCs/>
                <w:sz w:val="18"/>
                <w:szCs w:val="18"/>
              </w:rPr>
              <w:t>023</w:t>
            </w:r>
            <w:r>
              <w:rPr>
                <w:rFonts w:hint="eastAsia" w:ascii="宋体" w:hAnsi="宋体" w:eastAsia="宋体" w:cstheme="majorHAnsi"/>
                <w:b/>
                <w:bCs/>
                <w:sz w:val="18"/>
                <w:szCs w:val="18"/>
              </w:rPr>
              <w:t>年上半年</w:t>
            </w:r>
            <w:r>
              <w:rPr>
                <w:rFonts w:ascii="宋体" w:hAnsi="宋体" w:eastAsia="宋体" w:cstheme="majorHAnsi"/>
                <w:b/>
                <w:bCs/>
                <w:sz w:val="18"/>
                <w:szCs w:val="18"/>
              </w:rPr>
              <w:t>净利润</w:t>
            </w:r>
            <w:r>
              <w:rPr>
                <w:rFonts w:hint="eastAsia" w:ascii="宋体" w:hAnsi="宋体" w:eastAsia="宋体" w:cstheme="majorHAnsi"/>
                <w:b/>
                <w:bCs/>
                <w:sz w:val="18"/>
                <w:szCs w:val="18"/>
              </w:rPr>
              <w:t>（亿元）</w:t>
            </w:r>
          </w:p>
        </w:tc>
        <w:tc>
          <w:tcPr>
            <w:tcW w:w="597" w:type="pct"/>
            <w:shd w:val="clear" w:color="auto" w:fill="E7E6E6" w:themeFill="background2"/>
            <w:vAlign w:val="center"/>
          </w:tcPr>
          <w:p>
            <w:pPr>
              <w:spacing w:line="240" w:lineRule="auto"/>
              <w:ind w:firstLine="0" w:firstLineChars="0"/>
              <w:jc w:val="center"/>
              <w:rPr>
                <w:rFonts w:ascii="宋体" w:hAnsi="宋体" w:eastAsia="宋体" w:cstheme="majorHAnsi"/>
                <w:b/>
                <w:bCs/>
                <w:sz w:val="18"/>
                <w:szCs w:val="18"/>
              </w:rPr>
            </w:pPr>
            <w:r>
              <w:rPr>
                <w:rFonts w:hint="eastAsia" w:ascii="宋体" w:hAnsi="宋体" w:eastAsia="宋体" w:cstheme="majorHAnsi"/>
                <w:b/>
                <w:bCs/>
                <w:sz w:val="18"/>
                <w:szCs w:val="18"/>
              </w:rPr>
              <w:t>2</w:t>
            </w:r>
            <w:r>
              <w:rPr>
                <w:rFonts w:ascii="宋体" w:hAnsi="宋体" w:eastAsia="宋体" w:cstheme="majorHAnsi"/>
                <w:b/>
                <w:bCs/>
                <w:sz w:val="18"/>
                <w:szCs w:val="18"/>
              </w:rPr>
              <w:t>023</w:t>
            </w:r>
            <w:r>
              <w:rPr>
                <w:rFonts w:hint="eastAsia" w:ascii="宋体" w:hAnsi="宋体" w:eastAsia="宋体" w:cstheme="majorHAnsi"/>
                <w:b/>
                <w:bCs/>
                <w:sz w:val="18"/>
                <w:szCs w:val="18"/>
              </w:rPr>
              <w:t>年上半年</w:t>
            </w:r>
            <w:r>
              <w:rPr>
                <w:rFonts w:ascii="宋体" w:hAnsi="宋体" w:eastAsia="宋体" w:cstheme="majorHAnsi"/>
                <w:b/>
                <w:bCs/>
                <w:sz w:val="18"/>
                <w:szCs w:val="18"/>
              </w:rPr>
              <w:t>研发支出合计</w:t>
            </w:r>
            <w:r>
              <w:rPr>
                <w:rFonts w:hint="eastAsia" w:ascii="宋体" w:hAnsi="宋体" w:eastAsia="宋体" w:cstheme="majorHAnsi"/>
                <w:b/>
                <w:bCs/>
                <w:sz w:val="18"/>
                <w:szCs w:val="1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688180.SH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君实生物-U</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2020/7/15</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334.26</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6.70</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-9.97</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688331.SH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荣昌生物</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2022/3/31</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281.64</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4.22</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-7.03</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3</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688520.SH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神州细胞-U</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2020/6/22</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258.29</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8.08</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-1.38</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4</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688578.SH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艾力斯</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2020/12/2</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135.14</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7.49</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2.08</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5</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688192.SH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迪哲医药-U</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2021/12/10</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132.45</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0.00</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-5.14</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688177.SH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百奥泰</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2020/2/21</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115.45</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3.15</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-2.54</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7</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688266.SH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泽璟制药-U</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2020/1/23</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113.93</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2.20</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-1.14</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8</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688185.SH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康希诺</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2020/8/13</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112.13</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0.26</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-8.41</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9</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688443.SH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智翔金泰-U</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2023/6/20</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107.00</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0.00</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-3.88</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10</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688091.SH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上海谊众</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2021/9/9</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94.57</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2.00</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1.04</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11</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688062.SH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迈威生物-U</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2022/1/18</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89.03</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0.90</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-4.14</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12</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688351.SH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微电生理-U</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2022/8/31</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85.56</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1.42</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0.02</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13</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688382.SH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益方生物-U</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2022/7/25</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78.66</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0.80</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-1.68</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14</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688319.SH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欧林生物</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2021/6/8</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66.20</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2.33</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0.29</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15</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688197.SH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首药控股-U</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2022/3/23</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61.69</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0.05</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-0.93</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16</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688176.SH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亚虹医药-U</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2022/1/7</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61.67</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0.00</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-1.85</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17</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688302.SH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海创药业-U</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2022/4/12</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44.96</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0.00</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-1.65</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18</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688373.SH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盟科药业-U</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2022/8/5</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44.16</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0.42</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-1.25</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19</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688221.SH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前沿生物-U</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2020/10/28</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39.26</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0.42</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-1.73</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w:t>
            </w:r>
          </w:p>
        </w:tc>
        <w:tc>
          <w:tcPr>
            <w:tcW w:w="700"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688670.SH</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金迪克</w:t>
            </w:r>
          </w:p>
        </w:tc>
        <w:tc>
          <w:tcPr>
            <w:tcW w:w="763" w:type="pct"/>
            <w:noWrap/>
            <w:vAlign w:val="center"/>
          </w:tcPr>
          <w:p>
            <w:pPr>
              <w:spacing w:line="240" w:lineRule="auto"/>
              <w:ind w:firstLine="0" w:firstLineChars="0"/>
              <w:jc w:val="center"/>
              <w:rPr>
                <w:rFonts w:ascii="宋体" w:hAnsi="宋体" w:eastAsia="宋体" w:cstheme="majorHAnsi"/>
                <w:sz w:val="18"/>
                <w:szCs w:val="18"/>
              </w:rPr>
            </w:pPr>
            <w:r>
              <w:rPr>
                <w:rFonts w:ascii="宋体" w:hAnsi="宋体" w:eastAsia="宋体" w:cstheme="majorHAnsi"/>
                <w:sz w:val="18"/>
                <w:szCs w:val="18"/>
              </w:rPr>
              <w:t>2021/8/2</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38.41</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1.27</w:t>
            </w:r>
          </w:p>
        </w:tc>
        <w:tc>
          <w:tcPr>
            <w:tcW w:w="598"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0.35</w:t>
            </w:r>
          </w:p>
        </w:tc>
        <w:tc>
          <w:tcPr>
            <w:tcW w:w="597" w:type="pct"/>
            <w:noWrap/>
            <w:vAlign w:val="center"/>
          </w:tcPr>
          <w:p>
            <w:pPr>
              <w:spacing w:line="240" w:lineRule="auto"/>
              <w:ind w:firstLine="0" w:firstLineChars="0"/>
              <w:jc w:val="right"/>
              <w:rPr>
                <w:rFonts w:ascii="宋体" w:hAnsi="宋体" w:eastAsia="宋体" w:cstheme="majorHAnsi"/>
                <w:sz w:val="18"/>
                <w:szCs w:val="18"/>
              </w:rPr>
            </w:pPr>
            <w:r>
              <w:rPr>
                <w:rFonts w:ascii="宋体" w:hAnsi="宋体" w:eastAsia="宋体" w:cstheme="majorHAnsi"/>
                <w:sz w:val="18"/>
                <w:szCs w:val="18"/>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609" w:type="pct"/>
            <w:gridSpan w:val="4"/>
            <w:noWrap/>
            <w:vAlign w:val="center"/>
          </w:tcPr>
          <w:p>
            <w:pPr>
              <w:spacing w:line="240" w:lineRule="auto"/>
              <w:ind w:firstLine="0" w:firstLineChars="0"/>
              <w:jc w:val="center"/>
              <w:rPr>
                <w:rFonts w:ascii="宋体" w:hAnsi="宋体" w:eastAsia="宋体" w:cstheme="majorHAnsi"/>
                <w:b/>
                <w:bCs/>
                <w:sz w:val="18"/>
                <w:szCs w:val="18"/>
              </w:rPr>
            </w:pPr>
            <w:r>
              <w:rPr>
                <w:rFonts w:hint="eastAsia" w:ascii="宋体" w:hAnsi="宋体" w:eastAsia="宋体" w:cstheme="majorHAnsi"/>
                <w:b/>
                <w:bCs/>
                <w:sz w:val="18"/>
                <w:szCs w:val="18"/>
              </w:rPr>
              <w:t>合计</w:t>
            </w:r>
          </w:p>
        </w:tc>
        <w:tc>
          <w:tcPr>
            <w:tcW w:w="598" w:type="pct"/>
            <w:noWrap/>
            <w:vAlign w:val="center"/>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2294.47</w:t>
            </w:r>
          </w:p>
        </w:tc>
        <w:tc>
          <w:tcPr>
            <w:tcW w:w="598" w:type="pct"/>
            <w:noWrap/>
            <w:vAlign w:val="center"/>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41.72</w:t>
            </w:r>
          </w:p>
        </w:tc>
        <w:tc>
          <w:tcPr>
            <w:tcW w:w="598" w:type="pct"/>
            <w:noWrap/>
            <w:vAlign w:val="center"/>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-48.95</w:t>
            </w:r>
          </w:p>
        </w:tc>
        <w:tc>
          <w:tcPr>
            <w:tcW w:w="597" w:type="pct"/>
            <w:noWrap/>
            <w:vAlign w:val="center"/>
          </w:tcPr>
          <w:p>
            <w:pPr>
              <w:spacing w:line="240" w:lineRule="auto"/>
              <w:ind w:firstLine="0" w:firstLineChars="0"/>
              <w:jc w:val="right"/>
              <w:rPr>
                <w:rFonts w:ascii="宋体" w:hAnsi="宋体" w:eastAsia="宋体" w:cstheme="majorHAnsi"/>
                <w:b/>
                <w:bCs/>
                <w:sz w:val="18"/>
                <w:szCs w:val="18"/>
              </w:rPr>
            </w:pPr>
            <w:r>
              <w:rPr>
                <w:rFonts w:ascii="宋体" w:hAnsi="宋体" w:eastAsia="宋体" w:cstheme="majorHAnsi"/>
                <w:b/>
                <w:bCs/>
                <w:sz w:val="18"/>
                <w:szCs w:val="18"/>
              </w:rPr>
              <w:t>51.31</w:t>
            </w:r>
          </w:p>
        </w:tc>
      </w:tr>
    </w:tbl>
    <w:p>
      <w:pPr>
        <w:pStyle w:val="44"/>
      </w:pPr>
      <w:r>
        <w:rPr>
          <w:rFonts w:hint="eastAsia"/>
        </w:rPr>
        <w:t>数据来源：</w:t>
      </w:r>
      <w:r>
        <w:t>Choice</w:t>
      </w:r>
      <w:r>
        <w:rPr>
          <w:rFonts w:hint="eastAsia"/>
        </w:rPr>
        <w:t>、易董研究所整理</w:t>
      </w:r>
    </w:p>
    <w:p>
      <w:pPr>
        <w:ind w:firstLine="0" w:firstLineChars="0"/>
        <w:rPr>
          <w:rFonts w:ascii="宋体" w:hAnsi="宋体" w:eastAsia="宋体" w:cstheme="majorHAnsi"/>
        </w:rPr>
      </w:pPr>
    </w:p>
    <w:p>
      <w:pPr>
        <w:pStyle w:val="4"/>
      </w:pPr>
      <w:bookmarkStart w:id="205" w:name="_Toc148969290"/>
      <w:bookmarkStart w:id="206" w:name="_Toc147675150"/>
      <w:r>
        <w:t>东北地区净利润下滑</w:t>
      </w:r>
      <w:r>
        <w:rPr>
          <w:rFonts w:hint="eastAsia"/>
        </w:rPr>
        <w:t>明显</w:t>
      </w:r>
      <w:r>
        <w:t>，</w:t>
      </w:r>
      <w:r>
        <w:rPr>
          <w:rFonts w:hint="eastAsia"/>
        </w:rPr>
        <w:t>产业转型是未来发展的重要方向</w:t>
      </w:r>
      <w:bookmarkEnd w:id="205"/>
      <w:bookmarkEnd w:id="206"/>
    </w:p>
    <w:p>
      <w:pPr>
        <w:rPr>
          <w:rFonts w:ascii="宋体" w:hAnsi="宋体" w:eastAsia="宋体" w:cstheme="majorHAnsi"/>
        </w:rPr>
      </w:pPr>
      <w:r>
        <w:rPr>
          <w:rFonts w:ascii="宋体" w:hAnsi="宋体" w:eastAsia="宋体" w:cstheme="majorHAnsi"/>
        </w:rPr>
        <w:t>2023年上半年</w:t>
      </w:r>
      <w:r>
        <w:rPr>
          <w:rFonts w:hint="eastAsia" w:ascii="宋体" w:hAnsi="宋体" w:eastAsia="宋体" w:cstheme="majorHAnsi"/>
        </w:rPr>
        <w:t>，</w:t>
      </w:r>
      <w:r>
        <w:rPr>
          <w:rFonts w:ascii="宋体" w:hAnsi="宋体" w:eastAsia="宋体" w:cstheme="majorHAnsi"/>
        </w:rPr>
        <w:t>东北地区</w:t>
      </w:r>
      <w:r>
        <w:rPr>
          <w:rFonts w:hint="eastAsia" w:ascii="宋体" w:hAnsi="宋体" w:eastAsia="宋体" w:cstheme="majorHAnsi"/>
        </w:rPr>
        <w:t>上市公司家数1</w:t>
      </w:r>
      <w:r>
        <w:rPr>
          <w:rFonts w:ascii="宋体" w:hAnsi="宋体" w:eastAsia="宋体" w:cstheme="majorHAnsi"/>
        </w:rPr>
        <w:t>73</w:t>
      </w:r>
      <w:r>
        <w:rPr>
          <w:rFonts w:hint="eastAsia" w:ascii="宋体" w:hAnsi="宋体" w:eastAsia="宋体" w:cstheme="majorHAnsi"/>
        </w:rPr>
        <w:t>家，营收合计</w:t>
      </w:r>
      <w:r>
        <w:rPr>
          <w:rFonts w:ascii="宋体" w:hAnsi="宋体" w:eastAsia="宋体" w:cstheme="majorHAnsi"/>
        </w:rPr>
        <w:t>7552.56</w:t>
      </w:r>
      <w:r>
        <w:rPr>
          <w:rFonts w:hint="eastAsia" w:ascii="宋体" w:hAnsi="宋体" w:eastAsia="宋体" w:cstheme="majorHAnsi"/>
        </w:rPr>
        <w:t>亿元（同比-</w:t>
      </w:r>
      <w:r>
        <w:rPr>
          <w:rFonts w:ascii="宋体" w:hAnsi="宋体" w:eastAsia="宋体" w:cstheme="majorHAnsi"/>
        </w:rPr>
        <w:t>0.62%</w:t>
      </w:r>
      <w:r>
        <w:rPr>
          <w:rFonts w:hint="eastAsia" w:ascii="宋体" w:hAnsi="宋体" w:eastAsia="宋体" w:cstheme="majorHAnsi"/>
        </w:rPr>
        <w:t>），</w:t>
      </w:r>
      <w:r>
        <w:rPr>
          <w:rFonts w:ascii="宋体" w:hAnsi="宋体" w:eastAsia="宋体" w:cstheme="majorHAnsi"/>
        </w:rPr>
        <w:t>净利润总额为206.26亿元</w:t>
      </w:r>
      <w:r>
        <w:rPr>
          <w:rFonts w:hint="eastAsia" w:ascii="宋体" w:hAnsi="宋体" w:eastAsia="宋体" w:cstheme="majorHAnsi"/>
        </w:rPr>
        <w:t>（同比-</w:t>
      </w:r>
      <w:r>
        <w:rPr>
          <w:rFonts w:ascii="宋体" w:hAnsi="宋体" w:eastAsia="宋体" w:cstheme="majorHAnsi"/>
        </w:rPr>
        <w:t>28.64%</w:t>
      </w:r>
      <w:r>
        <w:rPr>
          <w:rFonts w:hint="eastAsia" w:ascii="宋体" w:hAnsi="宋体" w:eastAsia="宋体" w:cstheme="majorHAnsi"/>
        </w:rPr>
        <w:t>）</w:t>
      </w:r>
      <w:r>
        <w:rPr>
          <w:rFonts w:ascii="宋体" w:hAnsi="宋体" w:eastAsia="宋体" w:cstheme="majorHAnsi"/>
        </w:rPr>
        <w:t>。</w:t>
      </w:r>
      <w:r>
        <w:rPr>
          <w:rFonts w:hint="eastAsia" w:ascii="宋体" w:hAnsi="宋体" w:eastAsia="宋体" w:cstheme="majorHAnsi"/>
        </w:rPr>
        <w:t>其中，国有控股上市公司数量6</w:t>
      </w:r>
      <w:r>
        <w:rPr>
          <w:rFonts w:ascii="宋体" w:hAnsi="宋体" w:eastAsia="宋体" w:cstheme="majorHAnsi"/>
        </w:rPr>
        <w:t>5</w:t>
      </w:r>
      <w:r>
        <w:rPr>
          <w:rFonts w:hint="eastAsia" w:ascii="宋体" w:hAnsi="宋体" w:eastAsia="宋体" w:cstheme="majorHAnsi"/>
        </w:rPr>
        <w:t>家，占东北地区上市公司数量35.57%；合计市值</w:t>
      </w:r>
      <w:r>
        <w:rPr>
          <w:rFonts w:ascii="宋体" w:hAnsi="宋体" w:eastAsia="宋体" w:cstheme="majorHAnsi"/>
        </w:rPr>
        <w:t>7153.05</w:t>
      </w:r>
      <w:r>
        <w:rPr>
          <w:rFonts w:hint="eastAsia" w:ascii="宋体" w:hAnsi="宋体" w:eastAsia="宋体" w:cstheme="majorHAnsi"/>
        </w:rPr>
        <w:t>亿元，占东北地区总市值</w:t>
      </w:r>
      <w:r>
        <w:rPr>
          <w:rFonts w:ascii="宋体" w:hAnsi="宋体" w:eastAsia="宋体" w:cstheme="majorHAnsi"/>
        </w:rPr>
        <w:t>45.53%</w:t>
      </w:r>
      <w:r>
        <w:rPr>
          <w:rFonts w:hint="eastAsia" w:ascii="宋体" w:hAnsi="宋体" w:eastAsia="宋体" w:cstheme="majorHAnsi"/>
        </w:rPr>
        <w:t>；合计营收</w:t>
      </w:r>
      <w:r>
        <w:rPr>
          <w:rFonts w:ascii="宋体" w:hAnsi="宋体" w:eastAsia="宋体" w:cstheme="majorHAnsi"/>
        </w:rPr>
        <w:t>4086.78</w:t>
      </w:r>
      <w:r>
        <w:rPr>
          <w:rFonts w:hint="eastAsia" w:ascii="宋体" w:hAnsi="宋体" w:eastAsia="宋体" w:cstheme="majorHAnsi"/>
        </w:rPr>
        <w:t>亿元，占东北地区总营收</w:t>
      </w:r>
      <w:r>
        <w:rPr>
          <w:rFonts w:ascii="宋体" w:hAnsi="宋体" w:eastAsia="宋体" w:cstheme="majorHAnsi"/>
        </w:rPr>
        <w:t>54.11%</w:t>
      </w:r>
      <w:r>
        <w:rPr>
          <w:rFonts w:hint="eastAsia" w:ascii="宋体" w:hAnsi="宋体" w:eastAsia="宋体" w:cstheme="majorHAnsi"/>
        </w:rPr>
        <w:t>；合计净利</w:t>
      </w:r>
      <w:r>
        <w:rPr>
          <w:rFonts w:ascii="宋体" w:hAnsi="宋体" w:eastAsia="宋体" w:cstheme="majorHAnsi"/>
        </w:rPr>
        <w:t>84.32</w:t>
      </w:r>
      <w:r>
        <w:rPr>
          <w:rFonts w:hint="eastAsia" w:ascii="宋体" w:hAnsi="宋体" w:eastAsia="宋体" w:cstheme="majorHAnsi"/>
        </w:rPr>
        <w:t>亿元，占东北地区总净利</w:t>
      </w:r>
      <w:r>
        <w:rPr>
          <w:rFonts w:ascii="宋体" w:hAnsi="宋体" w:eastAsia="宋体" w:cstheme="majorHAnsi"/>
        </w:rPr>
        <w:t>40.88%</w:t>
      </w:r>
      <w:r>
        <w:rPr>
          <w:rFonts w:hint="eastAsia" w:ascii="宋体" w:hAnsi="宋体" w:eastAsia="宋体" w:cstheme="majorHAnsi"/>
        </w:rPr>
        <w:t>。民营上市公司数量</w:t>
      </w:r>
      <w:r>
        <w:rPr>
          <w:rFonts w:ascii="宋体" w:hAnsi="宋体" w:eastAsia="宋体" w:cstheme="majorHAnsi"/>
        </w:rPr>
        <w:t>88</w:t>
      </w:r>
      <w:r>
        <w:rPr>
          <w:rFonts w:hint="eastAsia" w:ascii="宋体" w:hAnsi="宋体" w:eastAsia="宋体" w:cstheme="majorHAnsi"/>
        </w:rPr>
        <w:t>家，占东北地区上市公司数量</w:t>
      </w:r>
      <w:r>
        <w:rPr>
          <w:rFonts w:ascii="宋体" w:hAnsi="宋体" w:eastAsia="宋体" w:cstheme="majorHAnsi"/>
        </w:rPr>
        <w:t>50.87%</w:t>
      </w:r>
      <w:r>
        <w:rPr>
          <w:rFonts w:hint="eastAsia" w:ascii="宋体" w:hAnsi="宋体" w:eastAsia="宋体" w:cstheme="majorHAnsi"/>
        </w:rPr>
        <w:t>；合计市值</w:t>
      </w:r>
      <w:r>
        <w:rPr>
          <w:rFonts w:ascii="宋体" w:hAnsi="宋体" w:eastAsia="宋体" w:cstheme="majorHAnsi"/>
        </w:rPr>
        <w:t>6688.35</w:t>
      </w:r>
      <w:r>
        <w:rPr>
          <w:rFonts w:hint="eastAsia" w:ascii="宋体" w:hAnsi="宋体" w:eastAsia="宋体" w:cstheme="majorHAnsi"/>
        </w:rPr>
        <w:t>亿元，占东北地区总市值</w:t>
      </w:r>
      <w:r>
        <w:rPr>
          <w:rFonts w:ascii="宋体" w:hAnsi="宋体" w:eastAsia="宋体" w:cstheme="majorHAnsi"/>
        </w:rPr>
        <w:t>42.58%</w:t>
      </w:r>
      <w:r>
        <w:rPr>
          <w:rFonts w:hint="eastAsia" w:ascii="宋体" w:hAnsi="宋体" w:eastAsia="宋体" w:cstheme="majorHAnsi"/>
        </w:rPr>
        <w:t>；合计营收</w:t>
      </w:r>
      <w:r>
        <w:rPr>
          <w:rFonts w:ascii="宋体" w:hAnsi="宋体" w:eastAsia="宋体" w:cstheme="majorHAnsi"/>
        </w:rPr>
        <w:t>3074.36</w:t>
      </w:r>
      <w:r>
        <w:rPr>
          <w:rFonts w:hint="eastAsia" w:ascii="宋体" w:hAnsi="宋体" w:eastAsia="宋体" w:cstheme="majorHAnsi"/>
        </w:rPr>
        <w:t>亿元，占东北地区总营收</w:t>
      </w:r>
      <w:r>
        <w:rPr>
          <w:rFonts w:ascii="宋体" w:hAnsi="宋体" w:eastAsia="宋体" w:cstheme="majorHAnsi"/>
        </w:rPr>
        <w:t>40.71</w:t>
      </w:r>
      <w:r>
        <w:rPr>
          <w:rFonts w:hint="eastAsia" w:ascii="宋体" w:hAnsi="宋体" w:eastAsia="宋体" w:cstheme="majorHAnsi"/>
        </w:rPr>
        <w:t>%；合计净利</w:t>
      </w:r>
      <w:r>
        <w:rPr>
          <w:rFonts w:ascii="宋体" w:hAnsi="宋体" w:eastAsia="宋体" w:cstheme="majorHAnsi"/>
        </w:rPr>
        <w:t>106.73</w:t>
      </w:r>
      <w:r>
        <w:rPr>
          <w:rFonts w:hint="eastAsia" w:ascii="宋体" w:hAnsi="宋体" w:eastAsia="宋体" w:cstheme="majorHAnsi"/>
        </w:rPr>
        <w:t>亿元，占东北地区总净利</w:t>
      </w:r>
      <w:r>
        <w:rPr>
          <w:rFonts w:ascii="宋体" w:hAnsi="宋体" w:eastAsia="宋体" w:cstheme="majorHAnsi"/>
        </w:rPr>
        <w:t>51.75</w:t>
      </w:r>
      <w:r>
        <w:rPr>
          <w:rFonts w:hint="eastAsia" w:ascii="宋体" w:hAnsi="宋体" w:eastAsia="宋体" w:cstheme="majorHAnsi"/>
        </w:rPr>
        <w:t>%。</w:t>
      </w:r>
    </w:p>
    <w:p>
      <w:pPr>
        <w:rPr>
          <w:rFonts w:ascii="宋体" w:hAnsi="宋体" w:eastAsia="宋体" w:cstheme="majorHAnsi"/>
        </w:rPr>
      </w:pPr>
      <w:r>
        <w:rPr>
          <w:rFonts w:hint="eastAsia" w:ascii="宋体" w:hAnsi="宋体" w:eastAsia="宋体" w:cstheme="majorHAnsi"/>
        </w:rPr>
        <w:t>总的来说，东北地区的上市公司数量少，地区的国有控股上市公司在市值、营收方面均具有较大优势，但创利能力较弱，整体发展仍有空间。民营上市公司贡献了东北地区过半的净利润，在净利润具有相当规模。这种格局反映出东北地区的经济以国有企业为主导，同时民营经济也有一定的发展。东北地区国有控股上市公司与民营上市公司仍需相互促进，共同发展。</w:t>
      </w:r>
    </w:p>
    <w:p>
      <w:pPr>
        <w:pStyle w:val="7"/>
        <w:rPr>
          <w:rFonts w:ascii="宋体" w:hAnsi="宋体"/>
        </w:rPr>
      </w:pPr>
      <w:r>
        <w:rPr>
          <w:rFonts w:ascii="宋体" w:hAnsi="宋体"/>
        </w:rPr>
        <w:t xml:space="preserve">表 </w:t>
      </w:r>
      <w:r>
        <w:rPr>
          <w:rFonts w:ascii="宋体" w:hAnsi="宋体"/>
        </w:rPr>
        <w:fldChar w:fldCharType="begin"/>
      </w:r>
      <w:r>
        <w:rPr>
          <w:rFonts w:ascii="宋体" w:hAnsi="宋体"/>
        </w:rPr>
        <w:instrText xml:space="preserve"> SEQ 表 \* ARABIC </w:instrText>
      </w:r>
      <w:r>
        <w:rPr>
          <w:rFonts w:ascii="宋体" w:hAnsi="宋体"/>
        </w:rPr>
        <w:fldChar w:fldCharType="separate"/>
      </w:r>
      <w:r>
        <w:rPr>
          <w:rFonts w:ascii="宋体" w:hAnsi="宋体"/>
        </w:rPr>
        <w:t>14</w:t>
      </w:r>
      <w:r>
        <w:rPr>
          <w:rFonts w:ascii="宋体" w:hAnsi="宋体"/>
        </w:rPr>
        <w:fldChar w:fldCharType="end"/>
      </w:r>
      <w:r>
        <w:rPr>
          <w:rFonts w:ascii="宋体" w:hAnsi="宋体"/>
        </w:rPr>
        <w:t xml:space="preserve"> 2023年上半年</w:t>
      </w:r>
      <w:r>
        <w:rPr>
          <w:rFonts w:hint="eastAsia" w:ascii="宋体" w:hAnsi="宋体"/>
        </w:rPr>
        <w:t>东北地区上市公司</w:t>
      </w:r>
      <w:r>
        <w:rPr>
          <w:rFonts w:ascii="宋体" w:hAnsi="宋体"/>
        </w:rPr>
        <w:t>整体情况</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
        <w:gridCol w:w="1272"/>
        <w:gridCol w:w="999"/>
        <w:gridCol w:w="909"/>
        <w:gridCol w:w="909"/>
        <w:gridCol w:w="999"/>
        <w:gridCol w:w="999"/>
        <w:gridCol w:w="999"/>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84" w:type="pct"/>
            <w:gridSpan w:val="2"/>
            <w:shd w:val="clear" w:color="auto" w:fill="E7E6E6" w:themeFill="background2"/>
            <w:vAlign w:val="center"/>
          </w:tcPr>
          <w:p>
            <w:pPr>
              <w:widowControl/>
              <w:spacing w:line="240" w:lineRule="auto"/>
              <w:ind w:firstLine="0" w:firstLineChars="0"/>
              <w:jc w:val="center"/>
              <w:rPr>
                <w:rFonts w:ascii="宋体" w:hAnsi="宋体" w:eastAsia="宋体" w:cs="Arial"/>
                <w:b/>
                <w:bCs/>
                <w:kern w:val="0"/>
                <w:sz w:val="16"/>
                <w:szCs w:val="16"/>
              </w:rPr>
            </w:pPr>
            <w:r>
              <w:rPr>
                <w:rFonts w:hint="eastAsia" w:ascii="宋体" w:hAnsi="宋体" w:eastAsia="宋体" w:cs="Arial"/>
                <w:b/>
                <w:bCs/>
                <w:kern w:val="0"/>
                <w:sz w:val="16"/>
                <w:szCs w:val="16"/>
              </w:rPr>
              <w:t>所属地区</w:t>
            </w:r>
          </w:p>
        </w:tc>
        <w:tc>
          <w:tcPr>
            <w:tcW w:w="586" w:type="pct"/>
            <w:shd w:val="clear" w:color="auto" w:fill="E7E6E6" w:themeFill="background2"/>
            <w:noWrap/>
            <w:vAlign w:val="center"/>
          </w:tcPr>
          <w:p>
            <w:pPr>
              <w:widowControl/>
              <w:spacing w:line="240" w:lineRule="auto"/>
              <w:ind w:firstLine="0" w:firstLineChars="0"/>
              <w:jc w:val="center"/>
              <w:rPr>
                <w:rFonts w:ascii="Arial" w:hAnsi="Arial" w:eastAsia="宋体" w:cs="Arial"/>
                <w:b/>
                <w:bCs/>
                <w:kern w:val="0"/>
                <w:sz w:val="16"/>
                <w:szCs w:val="16"/>
              </w:rPr>
            </w:pPr>
            <w:r>
              <w:rPr>
                <w:rFonts w:ascii="Arial" w:hAnsi="Arial" w:eastAsia="宋体" w:cs="Arial"/>
                <w:b/>
                <w:bCs/>
                <w:kern w:val="0"/>
                <w:sz w:val="16"/>
                <w:szCs w:val="16"/>
              </w:rPr>
              <w:t>东北地区</w:t>
            </w:r>
          </w:p>
        </w:tc>
        <w:tc>
          <w:tcPr>
            <w:tcW w:w="533" w:type="pct"/>
            <w:shd w:val="clear" w:color="auto" w:fill="E7E6E6" w:themeFill="background2"/>
            <w:noWrap/>
            <w:vAlign w:val="center"/>
          </w:tcPr>
          <w:p>
            <w:pPr>
              <w:widowControl/>
              <w:spacing w:line="240" w:lineRule="auto"/>
              <w:ind w:firstLine="0" w:firstLineChars="0"/>
              <w:jc w:val="center"/>
              <w:rPr>
                <w:rFonts w:ascii="Arial" w:hAnsi="Arial" w:eastAsia="宋体" w:cs="Arial"/>
                <w:b/>
                <w:bCs/>
                <w:kern w:val="0"/>
                <w:sz w:val="16"/>
                <w:szCs w:val="16"/>
              </w:rPr>
            </w:pPr>
            <w:r>
              <w:rPr>
                <w:rFonts w:ascii="Arial" w:hAnsi="Arial" w:eastAsia="宋体" w:cs="Arial"/>
                <w:b/>
                <w:bCs/>
                <w:kern w:val="0"/>
                <w:sz w:val="16"/>
                <w:szCs w:val="16"/>
              </w:rPr>
              <w:t>西北地区</w:t>
            </w:r>
          </w:p>
        </w:tc>
        <w:tc>
          <w:tcPr>
            <w:tcW w:w="533" w:type="pct"/>
            <w:shd w:val="clear" w:color="auto" w:fill="E7E6E6" w:themeFill="background2"/>
            <w:noWrap/>
            <w:vAlign w:val="center"/>
          </w:tcPr>
          <w:p>
            <w:pPr>
              <w:widowControl/>
              <w:spacing w:line="240" w:lineRule="auto"/>
              <w:ind w:firstLine="0" w:firstLineChars="0"/>
              <w:jc w:val="center"/>
              <w:rPr>
                <w:rFonts w:ascii="Arial" w:hAnsi="Arial" w:eastAsia="宋体" w:cs="Arial"/>
                <w:b/>
                <w:bCs/>
                <w:kern w:val="0"/>
                <w:sz w:val="16"/>
                <w:szCs w:val="16"/>
              </w:rPr>
            </w:pPr>
            <w:r>
              <w:rPr>
                <w:rFonts w:ascii="Arial" w:hAnsi="Arial" w:eastAsia="宋体" w:cs="Arial"/>
                <w:b/>
                <w:bCs/>
                <w:kern w:val="0"/>
                <w:sz w:val="16"/>
                <w:szCs w:val="16"/>
              </w:rPr>
              <w:t>西南地区</w:t>
            </w:r>
          </w:p>
        </w:tc>
        <w:tc>
          <w:tcPr>
            <w:tcW w:w="586" w:type="pct"/>
            <w:shd w:val="clear" w:color="auto" w:fill="E7E6E6" w:themeFill="background2"/>
            <w:noWrap/>
            <w:vAlign w:val="center"/>
          </w:tcPr>
          <w:p>
            <w:pPr>
              <w:widowControl/>
              <w:spacing w:line="240" w:lineRule="auto"/>
              <w:ind w:firstLine="0" w:firstLineChars="0"/>
              <w:jc w:val="center"/>
              <w:rPr>
                <w:rFonts w:ascii="Arial" w:hAnsi="Arial" w:eastAsia="宋体" w:cs="Arial"/>
                <w:b/>
                <w:bCs/>
                <w:kern w:val="0"/>
                <w:sz w:val="16"/>
                <w:szCs w:val="16"/>
              </w:rPr>
            </w:pPr>
            <w:r>
              <w:rPr>
                <w:rFonts w:ascii="Arial" w:hAnsi="Arial" w:eastAsia="宋体" w:cs="Arial"/>
                <w:b/>
                <w:bCs/>
                <w:kern w:val="0"/>
                <w:sz w:val="16"/>
                <w:szCs w:val="16"/>
              </w:rPr>
              <w:t>华北地区</w:t>
            </w:r>
          </w:p>
        </w:tc>
        <w:tc>
          <w:tcPr>
            <w:tcW w:w="586" w:type="pct"/>
            <w:shd w:val="clear" w:color="auto" w:fill="E7E6E6" w:themeFill="background2"/>
            <w:noWrap/>
            <w:vAlign w:val="center"/>
          </w:tcPr>
          <w:p>
            <w:pPr>
              <w:widowControl/>
              <w:spacing w:line="240" w:lineRule="auto"/>
              <w:ind w:firstLine="0" w:firstLineChars="0"/>
              <w:jc w:val="center"/>
              <w:rPr>
                <w:rFonts w:ascii="Arial" w:hAnsi="Arial" w:eastAsia="宋体" w:cs="Arial"/>
                <w:b/>
                <w:bCs/>
                <w:kern w:val="0"/>
                <w:sz w:val="16"/>
                <w:szCs w:val="16"/>
              </w:rPr>
            </w:pPr>
            <w:r>
              <w:rPr>
                <w:rFonts w:ascii="Arial" w:hAnsi="Arial" w:eastAsia="宋体" w:cs="Arial"/>
                <w:b/>
                <w:bCs/>
                <w:kern w:val="0"/>
                <w:sz w:val="16"/>
                <w:szCs w:val="16"/>
              </w:rPr>
              <w:t>华南地区</w:t>
            </w:r>
          </w:p>
        </w:tc>
        <w:tc>
          <w:tcPr>
            <w:tcW w:w="586" w:type="pct"/>
            <w:shd w:val="clear" w:color="auto" w:fill="E7E6E6" w:themeFill="background2"/>
            <w:noWrap/>
            <w:vAlign w:val="center"/>
          </w:tcPr>
          <w:p>
            <w:pPr>
              <w:widowControl/>
              <w:spacing w:line="240" w:lineRule="auto"/>
              <w:ind w:firstLine="0" w:firstLineChars="0"/>
              <w:jc w:val="center"/>
              <w:rPr>
                <w:rFonts w:ascii="Arial" w:hAnsi="Arial" w:eastAsia="宋体" w:cs="Arial"/>
                <w:b/>
                <w:bCs/>
                <w:kern w:val="0"/>
                <w:sz w:val="16"/>
                <w:szCs w:val="16"/>
              </w:rPr>
            </w:pPr>
            <w:r>
              <w:rPr>
                <w:rFonts w:ascii="Arial" w:hAnsi="Arial" w:eastAsia="宋体" w:cs="Arial"/>
                <w:b/>
                <w:bCs/>
                <w:kern w:val="0"/>
                <w:sz w:val="16"/>
                <w:szCs w:val="16"/>
              </w:rPr>
              <w:t>华东地区</w:t>
            </w:r>
          </w:p>
        </w:tc>
        <w:tc>
          <w:tcPr>
            <w:tcW w:w="605" w:type="pct"/>
            <w:shd w:val="clear" w:color="auto" w:fill="E7E6E6" w:themeFill="background2"/>
            <w:noWrap/>
            <w:vAlign w:val="center"/>
          </w:tcPr>
          <w:p>
            <w:pPr>
              <w:widowControl/>
              <w:spacing w:line="240" w:lineRule="auto"/>
              <w:ind w:firstLine="0" w:firstLineChars="0"/>
              <w:jc w:val="center"/>
              <w:rPr>
                <w:rFonts w:ascii="宋体" w:hAnsi="宋体" w:eastAsia="宋体" w:cs="Arial"/>
                <w:b/>
                <w:bCs/>
                <w:kern w:val="0"/>
                <w:sz w:val="16"/>
                <w:szCs w:val="16"/>
              </w:rPr>
            </w:pPr>
            <w:r>
              <w:rPr>
                <w:rFonts w:hint="eastAsia" w:ascii="宋体" w:hAnsi="宋体" w:eastAsia="宋体" w:cs="Arial"/>
                <w:b/>
                <w:bCs/>
                <w:kern w:val="0"/>
                <w:sz w:val="16"/>
                <w:szCs w:val="16"/>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984" w:type="pct"/>
            <w:gridSpan w:val="2"/>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ascii="宋体" w:hAnsi="宋体" w:eastAsia="宋体" w:cs="Arial"/>
                <w:b/>
                <w:bCs/>
                <w:kern w:val="0"/>
                <w:sz w:val="16"/>
                <w:szCs w:val="16"/>
              </w:rPr>
              <w:t>上市公司数量（家）</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173</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198</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343</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786</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1194</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2501</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5195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4" w:type="pct"/>
            <w:gridSpan w:val="2"/>
            <w:shd w:val="clear" w:color="auto" w:fill="auto"/>
            <w:vAlign w:val="center"/>
          </w:tcPr>
          <w:p>
            <w:pPr>
              <w:widowControl/>
              <w:spacing w:line="240" w:lineRule="auto"/>
              <w:ind w:firstLine="0" w:firstLineChars="0"/>
              <w:jc w:val="center"/>
              <w:rPr>
                <w:rFonts w:ascii="Arial" w:hAnsi="Arial" w:eastAsia="宋体" w:cs="Arial"/>
                <w:b/>
                <w:bCs/>
                <w:kern w:val="0"/>
                <w:sz w:val="16"/>
                <w:szCs w:val="16"/>
              </w:rPr>
            </w:pPr>
            <w:r>
              <w:rPr>
                <w:rFonts w:ascii="Arial" w:hAnsi="Arial" w:eastAsia="宋体" w:cs="Arial"/>
                <w:b/>
                <w:bCs/>
                <w:kern w:val="0"/>
                <w:sz w:val="16"/>
                <w:szCs w:val="16"/>
              </w:rPr>
              <w:t>23</w:t>
            </w:r>
            <w:r>
              <w:rPr>
                <w:rFonts w:hint="eastAsia" w:ascii="宋体" w:hAnsi="宋体" w:eastAsia="宋体" w:cs="Arial"/>
                <w:b/>
                <w:bCs/>
                <w:kern w:val="0"/>
                <w:sz w:val="16"/>
                <w:szCs w:val="16"/>
              </w:rPr>
              <w:t>年营收（亿元）</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7552.56</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9351.37</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14342.36</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149574.94</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58923.06</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112975.36</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352719.67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4" w:type="pct"/>
            <w:gridSpan w:val="2"/>
            <w:shd w:val="clear" w:color="auto" w:fill="auto"/>
            <w:vAlign w:val="center"/>
          </w:tcPr>
          <w:p>
            <w:pPr>
              <w:widowControl/>
              <w:spacing w:line="240" w:lineRule="auto"/>
              <w:ind w:firstLine="0" w:firstLineChars="0"/>
              <w:jc w:val="center"/>
              <w:rPr>
                <w:rFonts w:ascii="Arial" w:hAnsi="Arial" w:eastAsia="宋体" w:cs="Arial"/>
                <w:b/>
                <w:bCs/>
                <w:kern w:val="0"/>
                <w:sz w:val="16"/>
                <w:szCs w:val="16"/>
              </w:rPr>
            </w:pPr>
            <w:r>
              <w:rPr>
                <w:rFonts w:ascii="Arial" w:hAnsi="Arial" w:eastAsia="宋体" w:cs="Arial"/>
                <w:b/>
                <w:bCs/>
                <w:kern w:val="0"/>
                <w:sz w:val="16"/>
                <w:szCs w:val="16"/>
              </w:rPr>
              <w:t>23</w:t>
            </w:r>
            <w:r>
              <w:rPr>
                <w:rFonts w:hint="eastAsia" w:ascii="宋体" w:hAnsi="宋体" w:eastAsia="宋体" w:cs="Arial"/>
                <w:b/>
                <w:bCs/>
                <w:kern w:val="0"/>
                <w:sz w:val="16"/>
                <w:szCs w:val="16"/>
              </w:rPr>
              <w:t>年净利（亿元）</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206.26</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773.88</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1694.94</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14696.78</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4510.78</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7581.66</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29464.32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4" w:type="pct"/>
            <w:gridSpan w:val="2"/>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ascii="宋体" w:hAnsi="宋体" w:eastAsia="宋体" w:cs="Arial"/>
                <w:b/>
                <w:bCs/>
                <w:kern w:val="0"/>
                <w:sz w:val="16"/>
                <w:szCs w:val="16"/>
              </w:rPr>
              <w:t>总市值（亿元）</w:t>
            </w:r>
            <w:r>
              <w:rPr>
                <w:rFonts w:hint="eastAsia" w:ascii="宋体" w:hAnsi="宋体" w:eastAsia="宋体" w:cs="Arial"/>
                <w:b/>
                <w:bCs/>
                <w:kern w:val="0"/>
                <w:sz w:val="16"/>
                <w:szCs w:val="16"/>
              </w:rPr>
              <w:br w:type="textWrapping"/>
            </w:r>
            <w:r>
              <w:rPr>
                <w:rFonts w:hint="eastAsia" w:ascii="宋体" w:hAnsi="宋体" w:eastAsia="宋体" w:cs="Arial"/>
                <w:b/>
                <w:bCs/>
                <w:kern w:val="0"/>
                <w:sz w:val="16"/>
                <w:szCs w:val="16"/>
              </w:rPr>
              <w:t>2023-08-31</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15709.24</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27853.45</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74848.88</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266868.55</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173690.30</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306792.17</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865762.60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38" w:type="pct"/>
            <w:vMerge w:val="restart"/>
            <w:shd w:val="clear" w:color="auto" w:fill="auto"/>
            <w:vAlign w:val="center"/>
          </w:tcPr>
          <w:p>
            <w:pPr>
              <w:spacing w:line="240" w:lineRule="auto"/>
              <w:ind w:firstLine="18" w:firstLineChars="11"/>
              <w:jc w:val="center"/>
              <w:rPr>
                <w:rFonts w:ascii="宋体" w:hAnsi="宋体" w:eastAsia="宋体" w:cs="Arial"/>
                <w:b/>
                <w:bCs/>
                <w:kern w:val="0"/>
                <w:sz w:val="16"/>
                <w:szCs w:val="16"/>
              </w:rPr>
            </w:pPr>
            <w:r>
              <w:rPr>
                <w:rFonts w:hint="eastAsia" w:ascii="宋体" w:hAnsi="宋体" w:eastAsia="宋体" w:cs="Arial"/>
                <w:b/>
                <w:bCs/>
                <w:kern w:val="0"/>
                <w:sz w:val="16"/>
                <w:szCs w:val="16"/>
              </w:rPr>
              <w:t>国有控股上市公司</w:t>
            </w:r>
          </w:p>
        </w:tc>
        <w:tc>
          <w:tcPr>
            <w:tcW w:w="746" w:type="pct"/>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ascii="宋体" w:hAnsi="宋体" w:eastAsia="宋体" w:cs="Arial"/>
                <w:b/>
                <w:bCs/>
                <w:kern w:val="0"/>
                <w:sz w:val="16"/>
                <w:szCs w:val="16"/>
              </w:rPr>
              <w:t>国有控股上市公司数量（家）</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65</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96</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120</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301</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276</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518</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1376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spacing w:line="240" w:lineRule="auto"/>
              <w:ind w:firstLine="321"/>
              <w:jc w:val="center"/>
              <w:rPr>
                <w:rFonts w:ascii="Arial" w:hAnsi="Arial" w:eastAsia="宋体" w:cs="Arial"/>
                <w:b/>
                <w:bCs/>
                <w:kern w:val="0"/>
                <w:sz w:val="16"/>
                <w:szCs w:val="16"/>
              </w:rPr>
            </w:pPr>
          </w:p>
        </w:tc>
        <w:tc>
          <w:tcPr>
            <w:tcW w:w="746" w:type="pct"/>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ascii="宋体" w:hAnsi="宋体" w:eastAsia="宋体" w:cs="Arial"/>
                <w:b/>
                <w:bCs/>
                <w:kern w:val="0"/>
                <w:sz w:val="16"/>
                <w:szCs w:val="16"/>
              </w:rPr>
              <w:t>占区间上市公司数量比例</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37.57%</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48.48%</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34.99%</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38.30%</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23.12%</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20.71%</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26.49%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spacing w:line="240" w:lineRule="auto"/>
              <w:ind w:firstLine="321"/>
              <w:jc w:val="center"/>
              <w:rPr>
                <w:rFonts w:ascii="Arial" w:hAnsi="Arial" w:eastAsia="宋体" w:cs="Arial"/>
                <w:b/>
                <w:bCs/>
                <w:kern w:val="0"/>
                <w:sz w:val="16"/>
                <w:szCs w:val="16"/>
              </w:rPr>
            </w:pPr>
          </w:p>
        </w:tc>
        <w:tc>
          <w:tcPr>
            <w:tcW w:w="746" w:type="pct"/>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ascii="宋体" w:hAnsi="宋体" w:eastAsia="宋体" w:cs="Arial"/>
                <w:b/>
                <w:bCs/>
                <w:kern w:val="0"/>
                <w:sz w:val="16"/>
                <w:szCs w:val="16"/>
              </w:rPr>
              <w:t>国有总市值（亿元）</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7153.05</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15142.50</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51763.13</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204894.92</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42672.69</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103148.02</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424774.32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widowControl/>
              <w:spacing w:line="240" w:lineRule="auto"/>
              <w:ind w:firstLine="0" w:firstLineChars="0"/>
              <w:jc w:val="center"/>
              <w:rPr>
                <w:rFonts w:ascii="Arial" w:hAnsi="Arial" w:eastAsia="宋体" w:cs="Arial"/>
                <w:b/>
                <w:bCs/>
                <w:kern w:val="0"/>
                <w:sz w:val="16"/>
                <w:szCs w:val="16"/>
              </w:rPr>
            </w:pPr>
          </w:p>
        </w:tc>
        <w:tc>
          <w:tcPr>
            <w:tcW w:w="746" w:type="pct"/>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ascii="宋体" w:hAnsi="宋体" w:eastAsia="宋体" w:cs="Arial"/>
                <w:b/>
                <w:bCs/>
                <w:kern w:val="0"/>
                <w:sz w:val="16"/>
                <w:szCs w:val="16"/>
              </w:rPr>
              <w:t>国有市值占区间比例</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45.53%</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54.36%</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69.16%</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76.78%</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24.57%</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33.62%</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49.06%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widowControl/>
              <w:spacing w:line="240" w:lineRule="auto"/>
              <w:ind w:firstLine="0" w:firstLineChars="0"/>
              <w:jc w:val="center"/>
              <w:rPr>
                <w:rFonts w:ascii="Arial" w:hAnsi="Arial" w:eastAsia="宋体" w:cs="Arial"/>
                <w:b/>
                <w:bCs/>
                <w:kern w:val="0"/>
                <w:sz w:val="16"/>
                <w:szCs w:val="16"/>
              </w:rPr>
            </w:pPr>
          </w:p>
        </w:tc>
        <w:tc>
          <w:tcPr>
            <w:tcW w:w="746" w:type="pct"/>
            <w:shd w:val="clear" w:color="auto" w:fill="auto"/>
            <w:vAlign w:val="center"/>
          </w:tcPr>
          <w:p>
            <w:pPr>
              <w:widowControl/>
              <w:spacing w:line="240" w:lineRule="auto"/>
              <w:ind w:firstLine="0" w:firstLineChars="0"/>
              <w:jc w:val="center"/>
              <w:rPr>
                <w:rFonts w:cs="Arial"/>
                <w:b/>
                <w:bCs/>
                <w:sz w:val="16"/>
                <w:szCs w:val="16"/>
              </w:rPr>
            </w:pPr>
            <w:r>
              <w:rPr>
                <w:rFonts w:hint="eastAsia" w:cs="Arial"/>
                <w:b/>
                <w:bCs/>
                <w:sz w:val="16"/>
                <w:szCs w:val="16"/>
              </w:rPr>
              <w:t>2</w:t>
            </w:r>
            <w:r>
              <w:rPr>
                <w:rFonts w:cs="Arial"/>
                <w:b/>
                <w:bCs/>
                <w:sz w:val="16"/>
                <w:szCs w:val="16"/>
              </w:rPr>
              <w:t>3</w:t>
            </w:r>
            <w:r>
              <w:rPr>
                <w:rFonts w:hint="eastAsia" w:cs="Arial"/>
                <w:b/>
                <w:bCs/>
                <w:sz w:val="16"/>
                <w:szCs w:val="16"/>
              </w:rPr>
              <w:t>年总营收</w:t>
            </w:r>
          </w:p>
          <w:p>
            <w:pPr>
              <w:widowControl/>
              <w:spacing w:line="240" w:lineRule="auto"/>
              <w:ind w:firstLine="0" w:firstLineChars="0"/>
              <w:jc w:val="center"/>
              <w:rPr>
                <w:rFonts w:ascii="宋体" w:hAnsi="宋体" w:eastAsia="宋体" w:cs="Arial"/>
                <w:b/>
                <w:bCs/>
                <w:kern w:val="0"/>
                <w:sz w:val="16"/>
                <w:szCs w:val="16"/>
              </w:rPr>
            </w:pPr>
            <w:r>
              <w:rPr>
                <w:rFonts w:hint="eastAsia" w:cs="Arial"/>
                <w:b/>
                <w:bCs/>
                <w:sz w:val="16"/>
                <w:szCs w:val="16"/>
              </w:rPr>
              <w:t>（亿元）</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4086.78</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5822.34</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8755.04</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135560.98</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17243.94</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60927.05</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232396.14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widowControl/>
              <w:spacing w:line="240" w:lineRule="auto"/>
              <w:ind w:firstLine="0" w:firstLineChars="0"/>
              <w:jc w:val="center"/>
              <w:rPr>
                <w:rFonts w:ascii="Arial" w:hAnsi="Arial" w:eastAsia="宋体" w:cs="Arial"/>
                <w:b/>
                <w:bCs/>
                <w:kern w:val="0"/>
                <w:sz w:val="16"/>
                <w:szCs w:val="16"/>
              </w:rPr>
            </w:pPr>
          </w:p>
        </w:tc>
        <w:tc>
          <w:tcPr>
            <w:tcW w:w="746" w:type="pct"/>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cs="Arial"/>
                <w:b/>
                <w:bCs/>
                <w:sz w:val="16"/>
                <w:szCs w:val="16"/>
              </w:rPr>
              <w:t>占区间比例</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54.11%</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62.26%</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61.04%</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90.63%</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29.27%</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53.93%</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65.89%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widowControl/>
              <w:spacing w:line="240" w:lineRule="auto"/>
              <w:ind w:firstLine="0" w:firstLineChars="0"/>
              <w:jc w:val="center"/>
              <w:rPr>
                <w:rFonts w:ascii="Arial" w:hAnsi="Arial" w:eastAsia="宋体" w:cs="Arial"/>
                <w:b/>
                <w:bCs/>
                <w:kern w:val="0"/>
                <w:sz w:val="16"/>
                <w:szCs w:val="16"/>
              </w:rPr>
            </w:pPr>
          </w:p>
        </w:tc>
        <w:tc>
          <w:tcPr>
            <w:tcW w:w="746" w:type="pct"/>
            <w:shd w:val="clear" w:color="auto" w:fill="auto"/>
            <w:vAlign w:val="center"/>
          </w:tcPr>
          <w:p>
            <w:pPr>
              <w:widowControl/>
              <w:spacing w:line="240" w:lineRule="auto"/>
              <w:ind w:firstLine="0" w:firstLineChars="0"/>
              <w:jc w:val="center"/>
              <w:rPr>
                <w:rFonts w:cs="Arial"/>
                <w:b/>
                <w:bCs/>
                <w:sz w:val="16"/>
                <w:szCs w:val="16"/>
              </w:rPr>
            </w:pPr>
            <w:r>
              <w:rPr>
                <w:rFonts w:hint="eastAsia" w:cs="Arial"/>
                <w:b/>
                <w:bCs/>
                <w:sz w:val="16"/>
                <w:szCs w:val="16"/>
              </w:rPr>
              <w:t>2</w:t>
            </w:r>
            <w:r>
              <w:rPr>
                <w:rFonts w:cs="Arial"/>
                <w:b/>
                <w:bCs/>
                <w:sz w:val="16"/>
                <w:szCs w:val="16"/>
              </w:rPr>
              <w:t>3</w:t>
            </w:r>
            <w:r>
              <w:rPr>
                <w:rFonts w:hint="eastAsia" w:cs="Arial"/>
                <w:b/>
                <w:bCs/>
                <w:sz w:val="16"/>
                <w:szCs w:val="16"/>
              </w:rPr>
              <w:t>年总净利</w:t>
            </w:r>
          </w:p>
          <w:p>
            <w:pPr>
              <w:widowControl/>
              <w:spacing w:line="240" w:lineRule="auto"/>
              <w:ind w:firstLine="0" w:firstLineChars="0"/>
              <w:jc w:val="center"/>
              <w:rPr>
                <w:rFonts w:ascii="宋体" w:hAnsi="宋体" w:eastAsia="宋体" w:cs="Arial"/>
                <w:b/>
                <w:bCs/>
                <w:kern w:val="0"/>
                <w:sz w:val="16"/>
                <w:szCs w:val="16"/>
              </w:rPr>
            </w:pPr>
            <w:r>
              <w:rPr>
                <w:rFonts w:hint="eastAsia" w:cs="Arial"/>
                <w:b/>
                <w:bCs/>
                <w:sz w:val="16"/>
                <w:szCs w:val="16"/>
              </w:rPr>
              <w:t>（亿元）</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84.32</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403.94</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1240.84</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13808.03</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986.17</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3525.08</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20048.38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widowControl/>
              <w:spacing w:line="240" w:lineRule="auto"/>
              <w:ind w:firstLine="0" w:firstLineChars="0"/>
              <w:jc w:val="center"/>
              <w:rPr>
                <w:rFonts w:ascii="Arial" w:hAnsi="Arial" w:eastAsia="宋体" w:cs="Arial"/>
                <w:b/>
                <w:bCs/>
                <w:kern w:val="0"/>
                <w:sz w:val="16"/>
                <w:szCs w:val="16"/>
              </w:rPr>
            </w:pPr>
          </w:p>
        </w:tc>
        <w:tc>
          <w:tcPr>
            <w:tcW w:w="746" w:type="pct"/>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cs="Arial"/>
                <w:b/>
                <w:bCs/>
                <w:sz w:val="16"/>
                <w:szCs w:val="16"/>
              </w:rPr>
              <w:t>占区间比例</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40.88%</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52.20%</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73.21%</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93.95%</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21.86%</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46.49%</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68.04%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restart"/>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ascii="宋体" w:hAnsi="宋体" w:eastAsia="宋体" w:cs="Arial"/>
                <w:b/>
                <w:bCs/>
                <w:kern w:val="0"/>
                <w:sz w:val="16"/>
                <w:szCs w:val="16"/>
              </w:rPr>
              <w:t>民营上市公司</w:t>
            </w:r>
          </w:p>
        </w:tc>
        <w:tc>
          <w:tcPr>
            <w:tcW w:w="746" w:type="pct"/>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ascii="宋体" w:hAnsi="宋体" w:eastAsia="宋体" w:cs="Arial"/>
                <w:b/>
                <w:bCs/>
                <w:kern w:val="0"/>
                <w:sz w:val="16"/>
                <w:szCs w:val="16"/>
              </w:rPr>
              <w:t>民营上市公司数量（家）</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88</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88</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191</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424</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793</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1707</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3291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spacing w:line="240" w:lineRule="auto"/>
              <w:ind w:firstLine="320"/>
              <w:jc w:val="center"/>
              <w:rPr>
                <w:rFonts w:ascii="Arial" w:hAnsi="Arial" w:eastAsia="宋体" w:cs="Arial"/>
                <w:kern w:val="0"/>
                <w:sz w:val="16"/>
                <w:szCs w:val="16"/>
              </w:rPr>
            </w:pPr>
          </w:p>
        </w:tc>
        <w:tc>
          <w:tcPr>
            <w:tcW w:w="746" w:type="pct"/>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ascii="宋体" w:hAnsi="宋体" w:eastAsia="宋体" w:cs="Arial"/>
                <w:b/>
                <w:bCs/>
                <w:kern w:val="0"/>
                <w:sz w:val="16"/>
                <w:szCs w:val="16"/>
              </w:rPr>
              <w:t>占区间上市公司数量比例</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50.87%</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44.44%</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55.69%</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53.94%</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66.42%</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68.25%</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63.35%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spacing w:line="240" w:lineRule="auto"/>
              <w:ind w:firstLine="320"/>
              <w:jc w:val="center"/>
              <w:rPr>
                <w:rFonts w:ascii="Arial" w:hAnsi="Arial" w:eastAsia="宋体" w:cs="Arial"/>
                <w:kern w:val="0"/>
                <w:sz w:val="16"/>
                <w:szCs w:val="16"/>
              </w:rPr>
            </w:pPr>
          </w:p>
        </w:tc>
        <w:tc>
          <w:tcPr>
            <w:tcW w:w="746" w:type="pct"/>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ascii="宋体" w:hAnsi="宋体" w:eastAsia="宋体" w:cs="Arial"/>
                <w:b/>
                <w:bCs/>
                <w:kern w:val="0"/>
                <w:sz w:val="16"/>
                <w:szCs w:val="16"/>
              </w:rPr>
              <w:t>民营总市值（亿元）</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6688.35</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10939.62</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17811.86</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48357.05</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85058.64</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157183.92</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326039.44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widowControl/>
              <w:spacing w:line="240" w:lineRule="auto"/>
              <w:ind w:firstLine="0" w:firstLineChars="0"/>
              <w:jc w:val="center"/>
              <w:rPr>
                <w:rFonts w:ascii="Arial" w:hAnsi="Arial" w:eastAsia="宋体" w:cs="Arial"/>
                <w:kern w:val="0"/>
                <w:sz w:val="16"/>
                <w:szCs w:val="16"/>
              </w:rPr>
            </w:pPr>
          </w:p>
        </w:tc>
        <w:tc>
          <w:tcPr>
            <w:tcW w:w="746" w:type="pct"/>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ascii="宋体" w:hAnsi="宋体" w:eastAsia="宋体" w:cs="Arial"/>
                <w:b/>
                <w:bCs/>
                <w:kern w:val="0"/>
                <w:sz w:val="16"/>
                <w:szCs w:val="16"/>
              </w:rPr>
              <w:t>民营市值占区间比例</w:t>
            </w:r>
          </w:p>
        </w:tc>
        <w:tc>
          <w:tcPr>
            <w:tcW w:w="586"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42.58%</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39.28%</w:t>
            </w:r>
          </w:p>
        </w:tc>
        <w:tc>
          <w:tcPr>
            <w:tcW w:w="533"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23.80%</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18.12%</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48.97%</w:t>
            </w:r>
          </w:p>
        </w:tc>
        <w:tc>
          <w:tcPr>
            <w:tcW w:w="586" w:type="pct"/>
            <w:shd w:val="clear" w:color="auto" w:fill="auto"/>
            <w:noWrap/>
            <w:vAlign w:val="center"/>
          </w:tcPr>
          <w:p>
            <w:pPr>
              <w:widowControl/>
              <w:spacing w:line="240" w:lineRule="auto"/>
              <w:ind w:firstLine="0" w:firstLineChars="0"/>
              <w:jc w:val="right"/>
              <w:rPr>
                <w:rFonts w:ascii="Arial" w:hAnsi="Arial" w:eastAsia="宋体" w:cs="Arial"/>
                <w:kern w:val="0"/>
                <w:sz w:val="16"/>
                <w:szCs w:val="16"/>
              </w:rPr>
            </w:pPr>
            <w:r>
              <w:rPr>
                <w:rFonts w:ascii="Arial" w:hAnsi="Arial" w:eastAsia="宋体" w:cs="Arial"/>
                <w:kern w:val="0"/>
                <w:sz w:val="16"/>
                <w:szCs w:val="16"/>
              </w:rPr>
              <w:t>51.23%</w:t>
            </w:r>
          </w:p>
        </w:tc>
        <w:tc>
          <w:tcPr>
            <w:tcW w:w="605" w:type="pct"/>
            <w:shd w:val="clear" w:color="auto" w:fill="auto"/>
            <w:noWrap/>
            <w:vAlign w:val="center"/>
          </w:tcPr>
          <w:p>
            <w:pPr>
              <w:widowControl/>
              <w:spacing w:line="240" w:lineRule="auto"/>
              <w:ind w:firstLine="0" w:firstLineChars="0"/>
              <w:jc w:val="right"/>
              <w:rPr>
                <w:rFonts w:ascii="Arial" w:hAnsi="Arial" w:eastAsia="宋体" w:cs="Arial"/>
                <w:b/>
                <w:bCs/>
                <w:kern w:val="0"/>
                <w:sz w:val="16"/>
                <w:szCs w:val="16"/>
              </w:rPr>
            </w:pPr>
            <w:r>
              <w:rPr>
                <w:rFonts w:ascii="Arial" w:hAnsi="Arial" w:eastAsia="宋体" w:cs="Arial"/>
                <w:b/>
                <w:bCs/>
                <w:kern w:val="0"/>
                <w:sz w:val="16"/>
                <w:szCs w:val="16"/>
              </w:rPr>
              <w:t>37.66%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widowControl/>
              <w:spacing w:line="240" w:lineRule="auto"/>
              <w:ind w:firstLine="0" w:firstLineChars="0"/>
              <w:jc w:val="center"/>
              <w:rPr>
                <w:rFonts w:ascii="Arial" w:hAnsi="Arial" w:eastAsia="宋体" w:cs="Arial"/>
                <w:kern w:val="0"/>
                <w:sz w:val="16"/>
                <w:szCs w:val="16"/>
              </w:rPr>
            </w:pPr>
          </w:p>
        </w:tc>
        <w:tc>
          <w:tcPr>
            <w:tcW w:w="746" w:type="pct"/>
            <w:shd w:val="clear" w:color="auto" w:fill="auto"/>
            <w:vAlign w:val="center"/>
          </w:tcPr>
          <w:p>
            <w:pPr>
              <w:widowControl/>
              <w:spacing w:line="240" w:lineRule="auto"/>
              <w:ind w:firstLine="0" w:firstLineChars="0"/>
              <w:jc w:val="center"/>
              <w:rPr>
                <w:rFonts w:cs="Arial"/>
                <w:b/>
                <w:bCs/>
                <w:sz w:val="16"/>
                <w:szCs w:val="16"/>
              </w:rPr>
            </w:pPr>
            <w:r>
              <w:rPr>
                <w:rFonts w:hint="eastAsia" w:cs="Arial"/>
                <w:b/>
                <w:bCs/>
                <w:sz w:val="16"/>
                <w:szCs w:val="16"/>
              </w:rPr>
              <w:t>2</w:t>
            </w:r>
            <w:r>
              <w:rPr>
                <w:rFonts w:cs="Arial"/>
                <w:b/>
                <w:bCs/>
                <w:sz w:val="16"/>
                <w:szCs w:val="16"/>
              </w:rPr>
              <w:t>3</w:t>
            </w:r>
            <w:r>
              <w:rPr>
                <w:rFonts w:hint="eastAsia" w:cs="Arial"/>
                <w:b/>
                <w:bCs/>
                <w:sz w:val="16"/>
                <w:szCs w:val="16"/>
              </w:rPr>
              <w:t>年总营收</w:t>
            </w:r>
          </w:p>
          <w:p>
            <w:pPr>
              <w:widowControl/>
              <w:spacing w:line="240" w:lineRule="auto"/>
              <w:ind w:firstLine="0" w:firstLineChars="0"/>
              <w:jc w:val="center"/>
              <w:rPr>
                <w:rFonts w:ascii="宋体" w:hAnsi="宋体" w:eastAsia="宋体" w:cs="Arial"/>
                <w:b/>
                <w:bCs/>
                <w:kern w:val="0"/>
                <w:sz w:val="16"/>
                <w:szCs w:val="16"/>
              </w:rPr>
            </w:pPr>
            <w:r>
              <w:rPr>
                <w:rFonts w:hint="eastAsia" w:cs="Arial"/>
                <w:b/>
                <w:bCs/>
                <w:sz w:val="16"/>
                <w:szCs w:val="16"/>
              </w:rPr>
              <w:t>（亿元）</w:t>
            </w:r>
          </w:p>
        </w:tc>
        <w:tc>
          <w:tcPr>
            <w:tcW w:w="586" w:type="pct"/>
            <w:shd w:val="clear" w:color="auto" w:fill="auto"/>
            <w:noWrap/>
            <w:vAlign w:val="bottom"/>
          </w:tcPr>
          <w:p>
            <w:pPr>
              <w:widowControl/>
              <w:spacing w:line="240" w:lineRule="auto"/>
              <w:ind w:firstLine="0" w:firstLineChars="0"/>
              <w:jc w:val="right"/>
              <w:rPr>
                <w:rFonts w:ascii="Arial" w:hAnsi="Arial" w:eastAsia="宋体" w:cs="Arial"/>
                <w:b/>
                <w:bCs/>
                <w:kern w:val="0"/>
                <w:sz w:val="16"/>
                <w:szCs w:val="16"/>
              </w:rPr>
            </w:pPr>
            <w:r>
              <w:rPr>
                <w:rFonts w:ascii="Arial" w:hAnsi="Arial" w:cs="Arial"/>
                <w:b/>
                <w:bCs/>
                <w:sz w:val="16"/>
                <w:szCs w:val="16"/>
              </w:rPr>
              <w:t>3074.36</w:t>
            </w:r>
          </w:p>
        </w:tc>
        <w:tc>
          <w:tcPr>
            <w:tcW w:w="533"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2626.87</w:t>
            </w:r>
          </w:p>
        </w:tc>
        <w:tc>
          <w:tcPr>
            <w:tcW w:w="533"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4730.63</w:t>
            </w:r>
          </w:p>
        </w:tc>
        <w:tc>
          <w:tcPr>
            <w:tcW w:w="586"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10265.19</w:t>
            </w:r>
          </w:p>
        </w:tc>
        <w:tc>
          <w:tcPr>
            <w:tcW w:w="586"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22976.95</w:t>
            </w:r>
          </w:p>
        </w:tc>
        <w:tc>
          <w:tcPr>
            <w:tcW w:w="586"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37620.12</w:t>
            </w:r>
          </w:p>
        </w:tc>
        <w:tc>
          <w:tcPr>
            <w:tcW w:w="605" w:type="pct"/>
            <w:shd w:val="clear" w:color="auto" w:fill="auto"/>
            <w:noWrap/>
            <w:vAlign w:val="bottom"/>
          </w:tcPr>
          <w:p>
            <w:pPr>
              <w:widowControl/>
              <w:spacing w:line="240" w:lineRule="auto"/>
              <w:ind w:firstLine="0" w:firstLineChars="0"/>
              <w:jc w:val="right"/>
              <w:rPr>
                <w:rFonts w:ascii="Arial" w:hAnsi="Arial" w:eastAsia="宋体" w:cs="Arial"/>
                <w:b/>
                <w:bCs/>
                <w:kern w:val="0"/>
                <w:sz w:val="16"/>
                <w:szCs w:val="16"/>
              </w:rPr>
            </w:pPr>
            <w:r>
              <w:rPr>
                <w:rFonts w:ascii="Arial" w:hAnsi="Arial" w:cs="Arial"/>
                <w:b/>
                <w:bCs/>
                <w:sz w:val="16"/>
                <w:szCs w:val="16"/>
              </w:rPr>
              <w:t>81294.12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widowControl/>
              <w:spacing w:line="240" w:lineRule="auto"/>
              <w:ind w:firstLine="0" w:firstLineChars="0"/>
              <w:jc w:val="center"/>
              <w:rPr>
                <w:rFonts w:ascii="Arial" w:hAnsi="Arial" w:eastAsia="宋体" w:cs="Arial"/>
                <w:kern w:val="0"/>
                <w:sz w:val="16"/>
                <w:szCs w:val="16"/>
              </w:rPr>
            </w:pPr>
          </w:p>
        </w:tc>
        <w:tc>
          <w:tcPr>
            <w:tcW w:w="746" w:type="pct"/>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cs="Arial"/>
                <w:b/>
                <w:bCs/>
                <w:sz w:val="16"/>
                <w:szCs w:val="16"/>
              </w:rPr>
              <w:t>占区间比例</w:t>
            </w:r>
          </w:p>
        </w:tc>
        <w:tc>
          <w:tcPr>
            <w:tcW w:w="586" w:type="pct"/>
            <w:shd w:val="clear" w:color="auto" w:fill="auto"/>
            <w:noWrap/>
            <w:vAlign w:val="bottom"/>
          </w:tcPr>
          <w:p>
            <w:pPr>
              <w:widowControl/>
              <w:spacing w:line="240" w:lineRule="auto"/>
              <w:ind w:firstLine="0" w:firstLineChars="0"/>
              <w:jc w:val="right"/>
              <w:rPr>
                <w:rFonts w:ascii="Arial" w:hAnsi="Arial" w:eastAsia="宋体" w:cs="Arial"/>
                <w:b/>
                <w:bCs/>
                <w:kern w:val="0"/>
                <w:sz w:val="16"/>
                <w:szCs w:val="16"/>
              </w:rPr>
            </w:pPr>
            <w:r>
              <w:rPr>
                <w:rFonts w:ascii="Arial" w:hAnsi="Arial" w:cs="Arial"/>
                <w:b/>
                <w:bCs/>
                <w:sz w:val="16"/>
                <w:szCs w:val="16"/>
              </w:rPr>
              <w:t>40.71%</w:t>
            </w:r>
          </w:p>
        </w:tc>
        <w:tc>
          <w:tcPr>
            <w:tcW w:w="533"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28.09%</w:t>
            </w:r>
          </w:p>
        </w:tc>
        <w:tc>
          <w:tcPr>
            <w:tcW w:w="533"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32.98%</w:t>
            </w:r>
          </w:p>
        </w:tc>
        <w:tc>
          <w:tcPr>
            <w:tcW w:w="586"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6.86%</w:t>
            </w:r>
          </w:p>
        </w:tc>
        <w:tc>
          <w:tcPr>
            <w:tcW w:w="586"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38.99%</w:t>
            </w:r>
          </w:p>
        </w:tc>
        <w:tc>
          <w:tcPr>
            <w:tcW w:w="586"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33.30%</w:t>
            </w:r>
          </w:p>
        </w:tc>
        <w:tc>
          <w:tcPr>
            <w:tcW w:w="605" w:type="pct"/>
            <w:shd w:val="clear" w:color="auto" w:fill="auto"/>
            <w:noWrap/>
            <w:vAlign w:val="bottom"/>
          </w:tcPr>
          <w:p>
            <w:pPr>
              <w:widowControl/>
              <w:spacing w:line="240" w:lineRule="auto"/>
              <w:ind w:firstLine="0" w:firstLineChars="0"/>
              <w:jc w:val="right"/>
              <w:rPr>
                <w:rFonts w:ascii="Arial" w:hAnsi="Arial" w:eastAsia="宋体" w:cs="Arial"/>
                <w:b/>
                <w:bCs/>
                <w:kern w:val="0"/>
                <w:sz w:val="16"/>
                <w:szCs w:val="16"/>
              </w:rPr>
            </w:pPr>
            <w:r>
              <w:rPr>
                <w:rFonts w:ascii="Arial" w:hAnsi="Arial" w:cs="Arial"/>
                <w:b/>
                <w:bCs/>
                <w:sz w:val="16"/>
                <w:szCs w:val="16"/>
              </w:rPr>
              <w:t>23.05%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widowControl/>
              <w:spacing w:line="240" w:lineRule="auto"/>
              <w:ind w:firstLine="0" w:firstLineChars="0"/>
              <w:jc w:val="center"/>
              <w:rPr>
                <w:rFonts w:ascii="Arial" w:hAnsi="Arial" w:eastAsia="宋体" w:cs="Arial"/>
                <w:kern w:val="0"/>
                <w:sz w:val="16"/>
                <w:szCs w:val="16"/>
              </w:rPr>
            </w:pPr>
          </w:p>
        </w:tc>
        <w:tc>
          <w:tcPr>
            <w:tcW w:w="746" w:type="pct"/>
            <w:shd w:val="clear" w:color="auto" w:fill="auto"/>
            <w:vAlign w:val="center"/>
          </w:tcPr>
          <w:p>
            <w:pPr>
              <w:widowControl/>
              <w:spacing w:line="240" w:lineRule="auto"/>
              <w:ind w:firstLine="0" w:firstLineChars="0"/>
              <w:jc w:val="center"/>
              <w:rPr>
                <w:rFonts w:cs="Arial"/>
                <w:b/>
                <w:bCs/>
                <w:sz w:val="16"/>
                <w:szCs w:val="16"/>
              </w:rPr>
            </w:pPr>
            <w:r>
              <w:rPr>
                <w:rFonts w:hint="eastAsia" w:cs="Arial"/>
                <w:b/>
                <w:bCs/>
                <w:sz w:val="16"/>
                <w:szCs w:val="16"/>
              </w:rPr>
              <w:t>2</w:t>
            </w:r>
            <w:r>
              <w:rPr>
                <w:rFonts w:cs="Arial"/>
                <w:b/>
                <w:bCs/>
                <w:sz w:val="16"/>
                <w:szCs w:val="16"/>
              </w:rPr>
              <w:t>3</w:t>
            </w:r>
            <w:r>
              <w:rPr>
                <w:rFonts w:hint="eastAsia" w:cs="Arial"/>
                <w:b/>
                <w:bCs/>
                <w:sz w:val="16"/>
                <w:szCs w:val="16"/>
              </w:rPr>
              <w:t>年总净利</w:t>
            </w:r>
          </w:p>
          <w:p>
            <w:pPr>
              <w:widowControl/>
              <w:spacing w:line="240" w:lineRule="auto"/>
              <w:ind w:firstLine="0" w:firstLineChars="0"/>
              <w:jc w:val="center"/>
              <w:rPr>
                <w:rFonts w:ascii="宋体" w:hAnsi="宋体" w:eastAsia="宋体" w:cs="Arial"/>
                <w:b/>
                <w:bCs/>
                <w:kern w:val="0"/>
                <w:sz w:val="16"/>
                <w:szCs w:val="16"/>
              </w:rPr>
            </w:pPr>
            <w:r>
              <w:rPr>
                <w:rFonts w:hint="eastAsia" w:cs="Arial"/>
                <w:b/>
                <w:bCs/>
                <w:sz w:val="16"/>
                <w:szCs w:val="16"/>
              </w:rPr>
              <w:t>（亿元）</w:t>
            </w:r>
          </w:p>
        </w:tc>
        <w:tc>
          <w:tcPr>
            <w:tcW w:w="586" w:type="pct"/>
            <w:shd w:val="clear" w:color="auto" w:fill="auto"/>
            <w:noWrap/>
            <w:vAlign w:val="bottom"/>
          </w:tcPr>
          <w:p>
            <w:pPr>
              <w:widowControl/>
              <w:spacing w:line="240" w:lineRule="auto"/>
              <w:ind w:firstLine="0" w:firstLineChars="0"/>
              <w:jc w:val="right"/>
              <w:rPr>
                <w:rFonts w:ascii="Arial" w:hAnsi="Arial" w:eastAsia="宋体" w:cs="Arial"/>
                <w:b/>
                <w:bCs/>
                <w:kern w:val="0"/>
                <w:sz w:val="16"/>
                <w:szCs w:val="16"/>
              </w:rPr>
            </w:pPr>
            <w:r>
              <w:rPr>
                <w:rFonts w:ascii="Arial" w:hAnsi="Arial" w:cs="Arial"/>
                <w:b/>
                <w:bCs/>
                <w:sz w:val="16"/>
                <w:szCs w:val="16"/>
              </w:rPr>
              <w:t>106.73</w:t>
            </w:r>
          </w:p>
        </w:tc>
        <w:tc>
          <w:tcPr>
            <w:tcW w:w="533"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344.70</w:t>
            </w:r>
          </w:p>
        </w:tc>
        <w:tc>
          <w:tcPr>
            <w:tcW w:w="533"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358.53</w:t>
            </w:r>
          </w:p>
        </w:tc>
        <w:tc>
          <w:tcPr>
            <w:tcW w:w="586"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461.87</w:t>
            </w:r>
          </w:p>
        </w:tc>
        <w:tc>
          <w:tcPr>
            <w:tcW w:w="586"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1116.68</w:t>
            </w:r>
          </w:p>
        </w:tc>
        <w:tc>
          <w:tcPr>
            <w:tcW w:w="586"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2515.64</w:t>
            </w:r>
          </w:p>
        </w:tc>
        <w:tc>
          <w:tcPr>
            <w:tcW w:w="605" w:type="pct"/>
            <w:shd w:val="clear" w:color="auto" w:fill="auto"/>
            <w:noWrap/>
            <w:vAlign w:val="bottom"/>
          </w:tcPr>
          <w:p>
            <w:pPr>
              <w:widowControl/>
              <w:spacing w:line="240" w:lineRule="auto"/>
              <w:ind w:firstLine="0" w:firstLineChars="0"/>
              <w:jc w:val="right"/>
              <w:rPr>
                <w:rFonts w:ascii="Arial" w:hAnsi="Arial" w:eastAsia="宋体" w:cs="Arial"/>
                <w:b/>
                <w:bCs/>
                <w:kern w:val="0"/>
                <w:sz w:val="16"/>
                <w:szCs w:val="16"/>
              </w:rPr>
            </w:pPr>
            <w:r>
              <w:rPr>
                <w:rFonts w:ascii="Arial" w:hAnsi="Arial" w:cs="Arial"/>
                <w:b/>
                <w:bCs/>
                <w:sz w:val="16"/>
                <w:szCs w:val="16"/>
              </w:rPr>
              <w:t>4904.15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8" w:type="pct"/>
            <w:vMerge w:val="continue"/>
            <w:shd w:val="clear" w:color="auto" w:fill="auto"/>
            <w:vAlign w:val="center"/>
          </w:tcPr>
          <w:p>
            <w:pPr>
              <w:widowControl/>
              <w:spacing w:line="240" w:lineRule="auto"/>
              <w:ind w:firstLine="0" w:firstLineChars="0"/>
              <w:jc w:val="center"/>
              <w:rPr>
                <w:rFonts w:ascii="Arial" w:hAnsi="Arial" w:eastAsia="宋体" w:cs="Arial"/>
                <w:kern w:val="0"/>
                <w:sz w:val="16"/>
                <w:szCs w:val="16"/>
              </w:rPr>
            </w:pPr>
          </w:p>
        </w:tc>
        <w:tc>
          <w:tcPr>
            <w:tcW w:w="746" w:type="pct"/>
            <w:shd w:val="clear" w:color="auto" w:fill="auto"/>
            <w:vAlign w:val="center"/>
          </w:tcPr>
          <w:p>
            <w:pPr>
              <w:widowControl/>
              <w:spacing w:line="240" w:lineRule="auto"/>
              <w:ind w:firstLine="0" w:firstLineChars="0"/>
              <w:jc w:val="center"/>
              <w:rPr>
                <w:rFonts w:ascii="宋体" w:hAnsi="宋体" w:eastAsia="宋体" w:cs="Arial"/>
                <w:b/>
                <w:bCs/>
                <w:kern w:val="0"/>
                <w:sz w:val="16"/>
                <w:szCs w:val="16"/>
              </w:rPr>
            </w:pPr>
            <w:r>
              <w:rPr>
                <w:rFonts w:hint="eastAsia" w:cs="Arial"/>
                <w:b/>
                <w:bCs/>
                <w:sz w:val="16"/>
                <w:szCs w:val="16"/>
              </w:rPr>
              <w:t>占区间比例</w:t>
            </w:r>
          </w:p>
        </w:tc>
        <w:tc>
          <w:tcPr>
            <w:tcW w:w="586" w:type="pct"/>
            <w:shd w:val="clear" w:color="auto" w:fill="auto"/>
            <w:noWrap/>
            <w:vAlign w:val="bottom"/>
          </w:tcPr>
          <w:p>
            <w:pPr>
              <w:widowControl/>
              <w:spacing w:line="240" w:lineRule="auto"/>
              <w:ind w:firstLine="0" w:firstLineChars="0"/>
              <w:jc w:val="right"/>
              <w:rPr>
                <w:rFonts w:ascii="Arial" w:hAnsi="Arial" w:eastAsia="宋体" w:cs="Arial"/>
                <w:b/>
                <w:bCs/>
                <w:kern w:val="0"/>
                <w:sz w:val="16"/>
                <w:szCs w:val="16"/>
              </w:rPr>
            </w:pPr>
            <w:r>
              <w:rPr>
                <w:rFonts w:ascii="Arial" w:hAnsi="Arial" w:cs="Arial"/>
                <w:b/>
                <w:bCs/>
                <w:sz w:val="16"/>
                <w:szCs w:val="16"/>
              </w:rPr>
              <w:t>51.75%</w:t>
            </w:r>
          </w:p>
        </w:tc>
        <w:tc>
          <w:tcPr>
            <w:tcW w:w="533"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44.54%</w:t>
            </w:r>
          </w:p>
        </w:tc>
        <w:tc>
          <w:tcPr>
            <w:tcW w:w="533"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21.15%</w:t>
            </w:r>
          </w:p>
        </w:tc>
        <w:tc>
          <w:tcPr>
            <w:tcW w:w="586"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3.14%</w:t>
            </w:r>
          </w:p>
        </w:tc>
        <w:tc>
          <w:tcPr>
            <w:tcW w:w="586"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24.76%</w:t>
            </w:r>
          </w:p>
        </w:tc>
        <w:tc>
          <w:tcPr>
            <w:tcW w:w="586" w:type="pct"/>
            <w:shd w:val="clear" w:color="auto" w:fill="auto"/>
            <w:noWrap/>
            <w:vAlign w:val="bottom"/>
          </w:tcPr>
          <w:p>
            <w:pPr>
              <w:widowControl/>
              <w:spacing w:line="240" w:lineRule="auto"/>
              <w:ind w:firstLine="0" w:firstLineChars="0"/>
              <w:jc w:val="right"/>
              <w:rPr>
                <w:rFonts w:ascii="Arial" w:hAnsi="Arial" w:eastAsia="宋体" w:cs="Arial"/>
                <w:kern w:val="0"/>
                <w:sz w:val="16"/>
                <w:szCs w:val="16"/>
              </w:rPr>
            </w:pPr>
            <w:r>
              <w:rPr>
                <w:rFonts w:ascii="Arial" w:hAnsi="Arial" w:cs="Arial"/>
                <w:sz w:val="16"/>
                <w:szCs w:val="16"/>
              </w:rPr>
              <w:t>33.18%</w:t>
            </w:r>
          </w:p>
        </w:tc>
        <w:tc>
          <w:tcPr>
            <w:tcW w:w="605" w:type="pct"/>
            <w:shd w:val="clear" w:color="auto" w:fill="auto"/>
            <w:noWrap/>
            <w:vAlign w:val="bottom"/>
          </w:tcPr>
          <w:p>
            <w:pPr>
              <w:widowControl/>
              <w:spacing w:line="240" w:lineRule="auto"/>
              <w:ind w:firstLine="0" w:firstLineChars="0"/>
              <w:jc w:val="right"/>
              <w:rPr>
                <w:rFonts w:ascii="Arial" w:hAnsi="Arial" w:eastAsia="宋体" w:cs="Arial"/>
                <w:b/>
                <w:bCs/>
                <w:kern w:val="0"/>
                <w:sz w:val="16"/>
                <w:szCs w:val="16"/>
              </w:rPr>
            </w:pPr>
            <w:r>
              <w:rPr>
                <w:rFonts w:ascii="Arial" w:hAnsi="Arial" w:cs="Arial"/>
                <w:b/>
                <w:bCs/>
                <w:sz w:val="16"/>
                <w:szCs w:val="16"/>
              </w:rPr>
              <w:t>16.64%</w:t>
            </w:r>
          </w:p>
        </w:tc>
      </w:tr>
    </w:tbl>
    <w:p>
      <w:pPr>
        <w:ind w:firstLine="0" w:firstLineChars="0"/>
        <w:rPr>
          <w:rFonts w:ascii="宋体" w:hAnsi="宋体" w:eastAsia="宋体" w:cstheme="majorHAnsi"/>
        </w:rPr>
      </w:pPr>
    </w:p>
    <w:p>
      <w:pPr>
        <w:rPr>
          <w:rFonts w:ascii="宋体" w:hAnsi="宋体" w:eastAsia="宋体" w:cstheme="majorHAnsi"/>
        </w:rPr>
      </w:pPr>
      <w:r>
        <w:rPr>
          <w:rFonts w:hint="eastAsia" w:ascii="宋体" w:hAnsi="宋体" w:eastAsia="宋体" w:cstheme="majorHAnsi"/>
        </w:rPr>
        <w:t>从行业来看，</w:t>
      </w:r>
      <w:r>
        <w:rPr>
          <w:rFonts w:ascii="宋体" w:hAnsi="宋体" w:eastAsia="宋体" w:cstheme="majorHAnsi"/>
        </w:rPr>
        <w:t>其中石油化工行业上半年净利润为21.30亿元，同比下降74.55%，现金分红总额下降72.47亿元；钢铁行业净利润亏损22.93亿元，较去年同期净利润下降了48.85亿元，现金分红总额下降47.56亿元；汽车行业净利润15.77亿元，同比增长26.72%，现金分红总额下降31.62亿元。整体来看，东北地区受钢铁行业上半年净利润亏损的影响，整体盈利水平较低，其中</w:t>
      </w:r>
      <w:r>
        <w:rPr>
          <w:rFonts w:hint="eastAsia" w:ascii="宋体" w:hAnsi="宋体" w:eastAsia="宋体" w:cstheme="majorHAnsi"/>
        </w:rPr>
        <w:t>鞍钢股份、本钢板材亏损超10亿元</w:t>
      </w:r>
      <w:r>
        <w:rPr>
          <w:rFonts w:ascii="宋体" w:hAnsi="宋体" w:eastAsia="宋体" w:cstheme="majorHAnsi"/>
        </w:rPr>
        <w:t>；东北地区</w:t>
      </w:r>
      <w:r>
        <w:rPr>
          <w:rFonts w:hint="eastAsia" w:ascii="宋体" w:hAnsi="宋体" w:eastAsia="宋体" w:cstheme="majorHAnsi"/>
        </w:rPr>
        <w:t>整体</w:t>
      </w:r>
      <w:r>
        <w:rPr>
          <w:rFonts w:ascii="宋体" w:hAnsi="宋体" w:eastAsia="宋体" w:cstheme="majorHAnsi"/>
        </w:rPr>
        <w:t>现金分红总额为84.72亿元，较去年同比降低64.02%。</w:t>
      </w:r>
      <w:r>
        <w:rPr>
          <w:rFonts w:hint="eastAsia" w:ascii="宋体" w:hAnsi="宋体" w:eastAsia="宋体" w:cstheme="majorHAnsi"/>
        </w:rPr>
        <w:t>综上，东北地区在发展受困的原因是多方面的，包括上市公司质量、产业结构、人才因素、营商环境等多维度因素的影响。对于东北地区的传统工业，如钢铁和石油化工，行业的发展面临许多挑战，如环保要求、技术更新和市场变化等。因此，推动东北全面振兴，根基在实体经济，关键在科技创新，方向是产业升级</w:t>
      </w:r>
      <w:r>
        <w:rPr>
          <w:rFonts w:ascii="宋体" w:hAnsi="宋体" w:eastAsia="宋体" w:cstheme="majorHAnsi"/>
        </w:rPr>
        <w:t>，以提高产业附加值，推动战略新兴产业发展，带动地区经济高质量发展。</w:t>
      </w:r>
    </w:p>
    <w:p>
      <w:pPr>
        <w:pStyle w:val="3"/>
        <w:rPr>
          <w:rFonts w:ascii="宋体" w:hAnsi="宋体" w:eastAsia="宋体" w:cstheme="majorHAnsi"/>
        </w:rPr>
      </w:pPr>
      <w:bookmarkStart w:id="207" w:name="_Toc147925186"/>
      <w:bookmarkStart w:id="208" w:name="_Toc148969291"/>
      <w:r>
        <w:rPr>
          <w:rFonts w:hint="eastAsia" w:ascii="宋体" w:hAnsi="宋体" w:eastAsia="宋体" w:cstheme="majorHAnsi"/>
        </w:rPr>
        <w:t>促进A股上市公司未来稳健</w:t>
      </w:r>
      <w:r>
        <w:rPr>
          <w:rFonts w:ascii="宋体" w:hAnsi="宋体" w:eastAsia="宋体" w:cstheme="majorHAnsi"/>
        </w:rPr>
        <w:t>发展</w:t>
      </w:r>
      <w:r>
        <w:rPr>
          <w:rFonts w:hint="eastAsia" w:ascii="宋体" w:hAnsi="宋体" w:eastAsia="宋体" w:cstheme="majorHAnsi"/>
        </w:rPr>
        <w:t>的</w:t>
      </w:r>
      <w:r>
        <w:rPr>
          <w:rFonts w:ascii="宋体" w:hAnsi="宋体" w:eastAsia="宋体" w:cstheme="majorHAnsi"/>
        </w:rPr>
        <w:t>建议</w:t>
      </w:r>
      <w:bookmarkEnd w:id="207"/>
      <w:bookmarkEnd w:id="208"/>
    </w:p>
    <w:p>
      <w:pPr>
        <w:pStyle w:val="4"/>
        <w:numPr>
          <w:ilvl w:val="0"/>
          <w:numId w:val="5"/>
        </w:numPr>
      </w:pPr>
      <w:bookmarkStart w:id="209" w:name="_Toc148969292"/>
      <w:r>
        <w:rPr>
          <w:rFonts w:hint="eastAsia"/>
        </w:rPr>
        <w:t>抓住“基本盘”，通过政策和金融促进发展战略落地</w:t>
      </w:r>
      <w:bookmarkEnd w:id="209"/>
    </w:p>
    <w:p>
      <w:pPr>
        <w:rPr>
          <w:rFonts w:ascii="宋体" w:hAnsi="宋体" w:eastAsia="宋体" w:cstheme="majorHAnsi"/>
        </w:rPr>
      </w:pPr>
      <w:r>
        <w:rPr>
          <w:rFonts w:hint="eastAsia" w:ascii="宋体" w:hAnsi="宋体" w:eastAsia="宋体" w:cstheme="majorHAnsi"/>
        </w:rPr>
        <w:t>A股上市公司是推动中国经济发展的基本盘，是中国经济增长价值链的核心环节。数据测算，2</w:t>
      </w:r>
      <w:r>
        <w:rPr>
          <w:rFonts w:ascii="宋体" w:hAnsi="宋体" w:eastAsia="宋体" w:cstheme="majorHAnsi"/>
        </w:rPr>
        <w:t>010</w:t>
      </w:r>
      <w:r>
        <w:rPr>
          <w:rFonts w:hint="eastAsia" w:ascii="宋体" w:hAnsi="宋体" w:eastAsia="宋体" w:cstheme="majorHAnsi"/>
        </w:rPr>
        <w:t>年1月1日至2</w:t>
      </w:r>
      <w:r>
        <w:rPr>
          <w:rFonts w:ascii="宋体" w:hAnsi="宋体" w:eastAsia="宋体" w:cstheme="majorHAnsi"/>
        </w:rPr>
        <w:t>023</w:t>
      </w:r>
      <w:r>
        <w:rPr>
          <w:rFonts w:hint="eastAsia" w:ascii="宋体" w:hAnsi="宋体" w:eastAsia="宋体" w:cstheme="majorHAnsi"/>
        </w:rPr>
        <w:t>年6月3</w:t>
      </w:r>
      <w:r>
        <w:rPr>
          <w:rFonts w:ascii="宋体" w:hAnsi="宋体" w:eastAsia="宋体" w:cstheme="majorHAnsi"/>
        </w:rPr>
        <w:t>0</w:t>
      </w:r>
      <w:r>
        <w:rPr>
          <w:rFonts w:hint="eastAsia" w:ascii="宋体" w:hAnsi="宋体" w:eastAsia="宋体" w:cstheme="majorHAnsi"/>
        </w:rPr>
        <w:t>日，GDP与A股上市公司总市值和净利润季度数据的相关系数分别为0.9</w:t>
      </w:r>
      <w:r>
        <w:rPr>
          <w:rFonts w:ascii="宋体" w:hAnsi="宋体" w:eastAsia="宋体" w:cstheme="majorHAnsi"/>
        </w:rPr>
        <w:t>2</w:t>
      </w:r>
      <w:r>
        <w:rPr>
          <w:rFonts w:hint="eastAsia" w:ascii="宋体" w:hAnsi="宋体" w:eastAsia="宋体" w:cstheme="majorHAnsi"/>
        </w:rPr>
        <w:t>和0.8</w:t>
      </w:r>
      <w:r>
        <w:rPr>
          <w:rFonts w:ascii="宋体" w:hAnsi="宋体" w:eastAsia="宋体" w:cstheme="majorHAnsi"/>
        </w:rPr>
        <w:t>6</w:t>
      </w:r>
      <w:r>
        <w:rPr>
          <w:rFonts w:hint="eastAsia" w:ascii="宋体" w:hAnsi="宋体" w:eastAsia="宋体" w:cstheme="majorHAnsi"/>
        </w:rPr>
        <w:t>。2023年虽然整个中国经济增长的环境异常严峻，但是上市公司发展顶住了压力，取得了不错的成绩。今年剩下的不到3个月的时间是非常关键的时期。未来发展，要抓住“一个核心，两大抓手，推动上市公司发展基本面的变化”。一要以推动科技型上市公司发展为核心。上半年A股上市公司发展出现落差有三个突出重点，第一是民营上市公司发展落差大，第二是战略新兴产业上市公司的发展落差大，第三是中小市值上市公司发展落差大。上述三类上市公司的发展落差又以战略新兴产业上市公司发展为问题的核心点。应通过推动战略新兴产业上市公司的发展，化解矛盾，引领增长，带动上市公司整体的发展。二要通过综合政策实施和金融支持两大重要抓手，推动上市公司发展基本面的向好变化。综合政策实施和金融支持是促进A股上市公司发展战略落地的两大重要手段，通过这两大手段，逐步使愿景变为现实。制定任何政策，包括社会政治文化政策，都是与经济紧密相连的，脱离经济制定的政策，很可能对经济发展造成冲击，最终结果是事与愿违。未来要密切关注上市公司“1+6</w:t>
      </w:r>
      <w:r>
        <w:rPr>
          <w:rFonts w:ascii="宋体" w:hAnsi="宋体" w:eastAsia="宋体" w:cstheme="majorHAnsi"/>
        </w:rPr>
        <w:t>”</w:t>
      </w:r>
      <w:r>
        <w:rPr>
          <w:rFonts w:hint="eastAsia" w:ascii="宋体" w:hAnsi="宋体" w:eastAsia="宋体" w:cstheme="majorHAnsi"/>
        </w:rPr>
        <w:t>指标”的变化。1即证券化率，6大指标包括：上市公司证券化率、总市值、增加值、总营收、净利润、缴纳税费和研发投入。这6大指标反映了上市公司发展的整体质量。</w:t>
      </w:r>
    </w:p>
    <w:p>
      <w:pPr>
        <w:pStyle w:val="4"/>
        <w:numPr>
          <w:ilvl w:val="0"/>
          <w:numId w:val="5"/>
        </w:numPr>
      </w:pPr>
      <w:bookmarkStart w:id="210" w:name="_Toc147925188"/>
      <w:bookmarkStart w:id="211" w:name="_Toc148969293"/>
      <w:r>
        <w:rPr>
          <w:rFonts w:hint="eastAsia"/>
        </w:rPr>
        <w:t>促进</w:t>
      </w:r>
      <w:r>
        <w:t>国有</w:t>
      </w:r>
      <w:r>
        <w:rPr>
          <w:rFonts w:hint="eastAsia"/>
        </w:rPr>
        <w:t>公司与</w:t>
      </w:r>
      <w:r>
        <w:t>民营公司</w:t>
      </w:r>
      <w:r>
        <w:rPr>
          <w:rFonts w:hint="eastAsia"/>
        </w:rPr>
        <w:t>协同发展</w:t>
      </w:r>
      <w:r>
        <w:t>，</w:t>
      </w:r>
      <w:r>
        <w:rPr>
          <w:rFonts w:hint="eastAsia"/>
        </w:rPr>
        <w:t>共筑A股市场新格局</w:t>
      </w:r>
      <w:bookmarkEnd w:id="210"/>
      <w:bookmarkEnd w:id="211"/>
    </w:p>
    <w:p>
      <w:pPr>
        <w:rPr>
          <w:rFonts w:ascii="宋体" w:hAnsi="宋体" w:eastAsia="宋体" w:cs="宋体"/>
          <w:szCs w:val="21"/>
          <w:lang w:bidi="ar"/>
        </w:rPr>
      </w:pPr>
      <w:r>
        <w:rPr>
          <w:rFonts w:hint="eastAsia" w:ascii="宋体" w:hAnsi="宋体" w:eastAsia="宋体" w:cs="宋体"/>
          <w:szCs w:val="21"/>
          <w:lang w:bidi="ar"/>
        </w:rPr>
        <w:t>国有控股上市公司和民营上市公司在我国经济发展方面都扮演着不可或缺的角色。</w:t>
      </w:r>
      <w:r>
        <w:rPr>
          <w:rFonts w:ascii="宋体" w:hAnsi="宋体" w:eastAsia="宋体" w:cs="宋体"/>
          <w:szCs w:val="21"/>
          <w:lang w:bidi="ar"/>
        </w:rPr>
        <w:t>相比，国企市值规模靠前，在市值排名前20位的上市公司中有15家为国有控股上市公司，贵州茅台、工商银行、中国石油、中国移动、农业银行和宁德时代市值均超过万亿，其中，只有宁德时代1家属于民营上市公司，剩余5家均为国有控股上市公司。同时，国有控股上市公司</w:t>
      </w:r>
      <w:r>
        <w:rPr>
          <w:rFonts w:hint="eastAsia" w:ascii="宋体" w:hAnsi="宋体" w:eastAsia="宋体" w:cs="宋体"/>
          <w:szCs w:val="21"/>
          <w:lang w:bidi="ar"/>
        </w:rPr>
        <w:t>多是在各行业领域中掌握着关系国民生计、社会运行的龙头企业，市场影响力巨大</w:t>
      </w:r>
      <w:r>
        <w:rPr>
          <w:rFonts w:ascii="宋体" w:hAnsi="宋体" w:eastAsia="宋体" w:cs="宋体"/>
          <w:szCs w:val="21"/>
          <w:lang w:bidi="ar"/>
        </w:rPr>
        <w:t>。相比于国企</w:t>
      </w:r>
      <w:r>
        <w:rPr>
          <w:rFonts w:hint="eastAsia" w:ascii="宋体" w:hAnsi="宋体" w:eastAsia="宋体" w:cs="宋体"/>
          <w:szCs w:val="21"/>
          <w:lang w:bidi="ar"/>
        </w:rPr>
        <w:t>，民营企业</w:t>
      </w:r>
      <w:r>
        <w:rPr>
          <w:rFonts w:ascii="宋体" w:hAnsi="宋体" w:eastAsia="宋体" w:cs="宋体"/>
          <w:szCs w:val="21"/>
          <w:lang w:bidi="ar"/>
        </w:rPr>
        <w:t>则</w:t>
      </w:r>
      <w:r>
        <w:rPr>
          <w:rFonts w:hint="eastAsia" w:ascii="宋体" w:hAnsi="宋体" w:eastAsia="宋体" w:cs="宋体"/>
          <w:szCs w:val="21"/>
          <w:lang w:bidi="ar"/>
        </w:rPr>
        <w:t>更多体现在灵活性和</w:t>
      </w:r>
      <w:r>
        <w:rPr>
          <w:rFonts w:ascii="宋体" w:hAnsi="宋体" w:eastAsia="宋体" w:cs="宋体"/>
          <w:szCs w:val="21"/>
          <w:lang w:bidi="ar"/>
        </w:rPr>
        <w:t>流动</w:t>
      </w:r>
      <w:r>
        <w:rPr>
          <w:rFonts w:hint="eastAsia" w:ascii="宋体" w:hAnsi="宋体" w:eastAsia="宋体" w:cs="宋体"/>
          <w:szCs w:val="21"/>
          <w:lang w:bidi="ar"/>
        </w:rPr>
        <w:t>性上</w:t>
      </w:r>
      <w:r>
        <w:rPr>
          <w:rFonts w:ascii="宋体" w:hAnsi="宋体" w:eastAsia="宋体" w:cs="宋体"/>
          <w:szCs w:val="21"/>
          <w:lang w:bidi="ar"/>
        </w:rPr>
        <w:t>，</w:t>
      </w:r>
      <w:r>
        <w:rPr>
          <w:rFonts w:hint="eastAsia" w:ascii="宋体" w:hAnsi="宋体" w:eastAsia="宋体" w:cs="宋体"/>
          <w:szCs w:val="21"/>
          <w:lang w:bidi="ar"/>
        </w:rPr>
        <w:t>能够根据市场变化快速做出调整</w:t>
      </w:r>
      <w:r>
        <w:rPr>
          <w:rFonts w:ascii="宋体" w:hAnsi="宋体" w:eastAsia="宋体" w:cs="宋体"/>
          <w:szCs w:val="21"/>
          <w:lang w:bidi="ar"/>
        </w:rPr>
        <w:t>。</w:t>
      </w:r>
      <w:r>
        <w:rPr>
          <w:rFonts w:ascii="宋体" w:hAnsi="宋体" w:eastAsia="宋体" w:cs="宋体"/>
          <w:lang w:bidi="ar"/>
        </w:rPr>
        <w:t>从估值来看，2023年上半年</w:t>
      </w:r>
      <w:r>
        <w:rPr>
          <w:rFonts w:ascii="宋体" w:hAnsi="宋体" w:eastAsia="宋体" w:cs="宋体"/>
          <w:szCs w:val="21"/>
          <w:lang w:bidi="ar"/>
        </w:rPr>
        <w:t>民营上市公司</w:t>
      </w:r>
      <w:r>
        <w:rPr>
          <w:rFonts w:hint="eastAsia" w:ascii="宋体" w:hAnsi="宋体" w:eastAsia="宋体" w:cs="宋体"/>
          <w:szCs w:val="21"/>
          <w:lang w:bidi="ar"/>
        </w:rPr>
        <w:t>平均市盈率</w:t>
      </w:r>
      <w:r>
        <w:rPr>
          <w:rFonts w:ascii="宋体" w:hAnsi="宋体" w:eastAsia="宋体" w:cs="宋体"/>
          <w:szCs w:val="21"/>
          <w:lang w:bidi="ar"/>
        </w:rPr>
        <w:t>为</w:t>
      </w:r>
      <w:r>
        <w:rPr>
          <w:rFonts w:hint="eastAsia" w:ascii="宋体" w:hAnsi="宋体" w:eastAsia="宋体" w:cs="宋体"/>
          <w:szCs w:val="21"/>
          <w:lang w:bidi="ar"/>
        </w:rPr>
        <w:t>37.13倍</w:t>
      </w:r>
      <w:r>
        <w:rPr>
          <w:rFonts w:ascii="宋体" w:hAnsi="宋体" w:eastAsia="宋体" w:cs="宋体"/>
          <w:szCs w:val="21"/>
          <w:lang w:bidi="ar"/>
        </w:rPr>
        <w:t>，</w:t>
      </w:r>
      <w:r>
        <w:rPr>
          <w:rFonts w:ascii="宋体" w:hAnsi="宋体" w:eastAsia="宋体" w:cs="宋体"/>
          <w:lang w:bidi="ar"/>
        </w:rPr>
        <w:t>国有控股上市公司为</w:t>
      </w:r>
      <w:r>
        <w:rPr>
          <w:rFonts w:hint="eastAsia" w:ascii="宋体" w:hAnsi="宋体" w:eastAsia="宋体" w:cs="宋体"/>
          <w:szCs w:val="21"/>
          <w:lang w:bidi="ar"/>
        </w:rPr>
        <w:t>29.24倍</w:t>
      </w:r>
      <w:r>
        <w:rPr>
          <w:rFonts w:ascii="宋体" w:hAnsi="宋体" w:eastAsia="宋体" w:cs="宋体"/>
          <w:szCs w:val="21"/>
          <w:lang w:bidi="ar"/>
        </w:rPr>
        <w:t>，民营上市公司</w:t>
      </w:r>
      <w:r>
        <w:rPr>
          <w:rFonts w:ascii="宋体" w:hAnsi="宋体" w:eastAsia="宋体" w:cs="宋体"/>
          <w:lang w:bidi="ar"/>
        </w:rPr>
        <w:t>平均市盈率</w:t>
      </w:r>
      <w:r>
        <w:rPr>
          <w:rFonts w:ascii="宋体" w:hAnsi="宋体" w:eastAsia="宋体" w:cs="宋体"/>
          <w:szCs w:val="21"/>
          <w:lang w:bidi="ar"/>
        </w:rPr>
        <w:t>是国有控股上市公司的1.27倍，</w:t>
      </w:r>
      <w:r>
        <w:rPr>
          <w:rFonts w:ascii="宋体" w:hAnsi="宋体" w:eastAsia="宋体" w:cs="宋体"/>
          <w:lang w:bidi="ar"/>
        </w:rPr>
        <w:t>民营上市公司获得更高估值，</w:t>
      </w:r>
    </w:p>
    <w:p>
      <w:pPr>
        <w:pStyle w:val="7"/>
        <w:rPr>
          <w:rFonts w:ascii="宋体" w:hAnsi="宋体" w:cs="Arial"/>
          <w:color w:val="000000"/>
          <w:kern w:val="0"/>
          <w:sz w:val="20"/>
          <w:szCs w:val="20"/>
          <w:lang w:bidi="ar"/>
        </w:rPr>
      </w:pPr>
      <w:r>
        <w:rPr>
          <w:rFonts w:ascii="宋体" w:hAnsi="宋体"/>
        </w:rPr>
        <w:t xml:space="preserve">表 </w:t>
      </w:r>
      <w:r>
        <w:rPr>
          <w:rFonts w:ascii="宋体" w:hAnsi="宋体"/>
        </w:rPr>
        <w:fldChar w:fldCharType="begin"/>
      </w:r>
      <w:r>
        <w:rPr>
          <w:rFonts w:ascii="宋体" w:hAnsi="宋体"/>
        </w:rPr>
        <w:instrText xml:space="preserve"> SEQ 表 \* ARABIC </w:instrText>
      </w:r>
      <w:r>
        <w:rPr>
          <w:rFonts w:ascii="宋体" w:hAnsi="宋体"/>
        </w:rPr>
        <w:fldChar w:fldCharType="separate"/>
      </w:r>
      <w:r>
        <w:rPr>
          <w:rFonts w:ascii="宋体" w:hAnsi="宋体"/>
        </w:rPr>
        <w:t>15</w:t>
      </w:r>
      <w:r>
        <w:rPr>
          <w:rFonts w:ascii="宋体" w:hAnsi="宋体"/>
        </w:rPr>
        <w:fldChar w:fldCharType="end"/>
      </w:r>
      <w:r>
        <w:rPr>
          <w:rFonts w:ascii="宋体" w:hAnsi="宋体"/>
        </w:rPr>
        <w:t xml:space="preserve"> 2023上半年各省市上市公司对区域经济增长及税收收入的贡献</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511"/>
        <w:gridCol w:w="1512"/>
        <w:gridCol w:w="1838"/>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0" w:type="auto"/>
            <w:shd w:val="clear" w:color="auto" w:fill="E7E6E6" w:themeFill="background2"/>
            <w:noWrap/>
            <w:vAlign w:val="center"/>
          </w:tcPr>
          <w:p>
            <w:pPr>
              <w:widowControl/>
              <w:spacing w:line="240" w:lineRule="auto"/>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公司属性</w:t>
            </w:r>
          </w:p>
        </w:tc>
        <w:tc>
          <w:tcPr>
            <w:tcW w:w="0" w:type="auto"/>
            <w:shd w:val="clear" w:color="auto" w:fill="E7E6E6" w:themeFill="background2"/>
            <w:vAlign w:val="center"/>
          </w:tcPr>
          <w:p>
            <w:pPr>
              <w:widowControl/>
              <w:spacing w:line="240" w:lineRule="auto"/>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2022半年度平均市盈率</w:t>
            </w:r>
          </w:p>
        </w:tc>
        <w:tc>
          <w:tcPr>
            <w:tcW w:w="0" w:type="auto"/>
            <w:shd w:val="clear" w:color="auto" w:fill="E7E6E6" w:themeFill="background2"/>
            <w:vAlign w:val="center"/>
          </w:tcPr>
          <w:p>
            <w:pPr>
              <w:widowControl/>
              <w:spacing w:line="240" w:lineRule="auto"/>
              <w:ind w:firstLine="0" w:firstLineChars="0"/>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2023半年度平均市盈率</w:t>
            </w:r>
          </w:p>
        </w:tc>
        <w:tc>
          <w:tcPr>
            <w:tcW w:w="0" w:type="auto"/>
            <w:shd w:val="clear" w:color="auto" w:fill="E7E6E6" w:themeFill="background2"/>
            <w:vAlign w:val="center"/>
          </w:tcPr>
          <w:p>
            <w:pPr>
              <w:widowControl/>
              <w:spacing w:line="240" w:lineRule="auto"/>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2022半年度平均净资产收益率</w:t>
            </w:r>
          </w:p>
        </w:tc>
        <w:tc>
          <w:tcPr>
            <w:tcW w:w="0" w:type="auto"/>
            <w:shd w:val="clear" w:color="auto" w:fill="E7E6E6" w:themeFill="background2"/>
            <w:vAlign w:val="center"/>
          </w:tcPr>
          <w:p>
            <w:pPr>
              <w:widowControl/>
              <w:spacing w:line="240" w:lineRule="auto"/>
              <w:ind w:firstLine="0" w:firstLineChars="0"/>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2023半年度平均净资产收益率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shd w:val="clear" w:color="auto" w:fill="auto"/>
            <w:noWrap/>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ascii="宋体" w:hAnsi="宋体" w:eastAsia="宋体" w:cs="宋体"/>
                <w:color w:val="000000"/>
                <w:sz w:val="18"/>
                <w:szCs w:val="18"/>
              </w:rPr>
              <w:t>国有控股上市公司</w:t>
            </w:r>
          </w:p>
        </w:tc>
        <w:tc>
          <w:tcPr>
            <w:tcW w:w="0" w:type="auto"/>
            <w:shd w:val="clear" w:color="auto" w:fill="auto"/>
            <w:noWrap/>
            <w:vAlign w:val="center"/>
          </w:tcPr>
          <w:p>
            <w:pPr>
              <w:widowControl/>
              <w:spacing w:line="240" w:lineRule="auto"/>
              <w:ind w:firstLine="0" w:firstLineChars="0"/>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27.44</w:t>
            </w:r>
          </w:p>
        </w:tc>
        <w:tc>
          <w:tcPr>
            <w:tcW w:w="0" w:type="auto"/>
            <w:vAlign w:val="center"/>
          </w:tcPr>
          <w:p>
            <w:pPr>
              <w:widowControl/>
              <w:spacing w:line="240" w:lineRule="auto"/>
              <w:ind w:firstLine="0" w:firstLineChars="0"/>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29.24</w:t>
            </w:r>
          </w:p>
        </w:tc>
        <w:tc>
          <w:tcPr>
            <w:tcW w:w="0" w:type="auto"/>
            <w:shd w:val="clear" w:color="auto" w:fill="auto"/>
            <w:noWrap/>
            <w:vAlign w:val="center"/>
          </w:tcPr>
          <w:p>
            <w:pPr>
              <w:widowControl/>
              <w:spacing w:line="240" w:lineRule="auto"/>
              <w:ind w:firstLine="0" w:firstLineChars="0"/>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2.68%</w:t>
            </w:r>
          </w:p>
        </w:tc>
        <w:tc>
          <w:tcPr>
            <w:tcW w:w="0" w:type="auto"/>
            <w:vAlign w:val="center"/>
          </w:tcPr>
          <w:p>
            <w:pPr>
              <w:widowControl/>
              <w:spacing w:line="240" w:lineRule="auto"/>
              <w:ind w:firstLine="360"/>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shd w:val="clear" w:color="auto" w:fill="auto"/>
            <w:noWrap/>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ascii="宋体" w:hAnsi="宋体" w:eastAsia="宋体" w:cs="宋体"/>
                <w:color w:val="000000"/>
                <w:sz w:val="18"/>
                <w:szCs w:val="18"/>
              </w:rPr>
              <w:t>民营上市公司</w:t>
            </w:r>
          </w:p>
        </w:tc>
        <w:tc>
          <w:tcPr>
            <w:tcW w:w="0" w:type="auto"/>
            <w:shd w:val="clear" w:color="auto" w:fill="auto"/>
            <w:noWrap/>
            <w:vAlign w:val="center"/>
          </w:tcPr>
          <w:p>
            <w:pPr>
              <w:widowControl/>
              <w:spacing w:line="240" w:lineRule="auto"/>
              <w:ind w:firstLine="0" w:firstLineChars="0"/>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27.79</w:t>
            </w:r>
          </w:p>
        </w:tc>
        <w:tc>
          <w:tcPr>
            <w:tcW w:w="0" w:type="auto"/>
            <w:vAlign w:val="center"/>
          </w:tcPr>
          <w:p>
            <w:pPr>
              <w:widowControl/>
              <w:spacing w:line="240" w:lineRule="auto"/>
              <w:ind w:firstLine="0" w:firstLineChars="0"/>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37.13</w:t>
            </w:r>
          </w:p>
        </w:tc>
        <w:tc>
          <w:tcPr>
            <w:tcW w:w="0" w:type="auto"/>
            <w:shd w:val="clear" w:color="auto" w:fill="auto"/>
            <w:noWrap/>
            <w:vAlign w:val="center"/>
          </w:tcPr>
          <w:p>
            <w:pPr>
              <w:widowControl/>
              <w:spacing w:line="240" w:lineRule="auto"/>
              <w:ind w:firstLine="0" w:firstLineChars="0"/>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3.65%</w:t>
            </w:r>
          </w:p>
        </w:tc>
        <w:tc>
          <w:tcPr>
            <w:tcW w:w="0" w:type="auto"/>
            <w:vAlign w:val="center"/>
          </w:tcPr>
          <w:p>
            <w:pPr>
              <w:widowControl/>
              <w:spacing w:line="240" w:lineRule="auto"/>
              <w:ind w:firstLine="0" w:firstLineChars="0"/>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2.16%</w:t>
            </w:r>
          </w:p>
        </w:tc>
      </w:tr>
    </w:tbl>
    <w:p>
      <w:pPr>
        <w:pStyle w:val="44"/>
      </w:pPr>
      <w:r>
        <w:t>数据来源：Choice、易董研究所整理</w:t>
      </w:r>
    </w:p>
    <w:p>
      <w:pPr>
        <w:rPr>
          <w:rFonts w:ascii="宋体" w:hAnsi="宋体" w:eastAsia="宋体" w:cstheme="majorHAnsi"/>
        </w:rPr>
      </w:pPr>
      <w:r>
        <w:rPr>
          <w:rFonts w:hint="eastAsia" w:ascii="宋体" w:hAnsi="宋体" w:eastAsia="宋体" w:cs="宋体"/>
          <w:szCs w:val="21"/>
          <w:lang w:bidi="ar"/>
        </w:rPr>
        <w:t>因此，我们认为，国有、民营公司是融为一体的，是唇亡齿寒的关系。如果把A股公司看作一个人的整体，国有控股公司则是人的四肢，</w:t>
      </w:r>
      <w:r>
        <w:rPr>
          <w:rFonts w:ascii="宋体" w:hAnsi="宋体" w:eastAsia="宋体" w:cs="宋体"/>
          <w:szCs w:val="21"/>
          <w:lang w:bidi="ar"/>
        </w:rPr>
        <w:t>民营公司</w:t>
      </w:r>
      <w:r>
        <w:rPr>
          <w:rFonts w:hint="eastAsia" w:ascii="宋体" w:hAnsi="宋体" w:eastAsia="宋体" w:cs="宋体"/>
          <w:szCs w:val="21"/>
          <w:lang w:bidi="ar"/>
        </w:rPr>
        <w:t>则是人的筋骨；国有公司是人的五脏，民营公司是人的任督二脉和灵魂；国有公司是人的心脏，民营公司是人的大脑。只有协同发展，才有A股公司的未来。未来发展，对待国有、民营公司要趋向三个一致，一是法律法规的一致性，加快调整不一致的内容。二是各项政策的一致性，调整和改变对民营公司的歧视性政策。三是宣传舆论的一致性。国有、民营都是自家人，而不是单独说“民营公司也是自家人”。</w:t>
      </w:r>
    </w:p>
    <w:p>
      <w:pPr>
        <w:pStyle w:val="4"/>
        <w:numPr>
          <w:ilvl w:val="0"/>
          <w:numId w:val="5"/>
        </w:numPr>
      </w:pPr>
      <w:bookmarkStart w:id="212" w:name="_Toc148969294"/>
      <w:bookmarkStart w:id="213" w:name="_Toc147925189"/>
      <w:r>
        <w:rPr>
          <w:rFonts w:hint="eastAsia"/>
        </w:rPr>
        <w:t>抓两头促中间，</w:t>
      </w:r>
      <w:r>
        <w:t>提升</w:t>
      </w:r>
      <w:r>
        <w:rPr>
          <w:rFonts w:hint="eastAsia"/>
        </w:rPr>
        <w:t>A股</w:t>
      </w:r>
      <w:r>
        <w:t>上市公司</w:t>
      </w:r>
      <w:r>
        <w:rPr>
          <w:rFonts w:hint="eastAsia"/>
        </w:rPr>
        <w:t>整体</w:t>
      </w:r>
      <w:r>
        <w:t>质量</w:t>
      </w:r>
      <w:bookmarkEnd w:id="212"/>
      <w:bookmarkEnd w:id="213"/>
    </w:p>
    <w:p>
      <w:pPr>
        <w:rPr>
          <w:rFonts w:ascii="宋体" w:hAnsi="宋体" w:eastAsia="宋体" w:cs="宋体"/>
          <w:szCs w:val="21"/>
          <w:lang w:bidi="ar"/>
        </w:rPr>
      </w:pPr>
      <w:r>
        <w:rPr>
          <w:rFonts w:ascii="宋体" w:hAnsi="宋体" w:eastAsia="宋体" w:cs="宋体"/>
          <w:szCs w:val="21"/>
          <w:lang w:bidi="ar"/>
        </w:rPr>
        <w:t>高市值上市公司占全部A股数量的两成，其经营质量在A股市场上独占鳌头，实力强大，在市场中起到积极引领作用。市值规模超过100亿市值以上公司数量共计1476家，营业收入总额达到304336.28亿元，占A股上市公司总额的86.28%，实现营收增长的公司有925家，占高市值公司总数量的62.67%；净利润总额达到28042.57亿元，占A股上市公司总额的95.17%，有799家上市公司净利润较去年同期有所增长，占高市值公司总数量的54.13%</w:t>
      </w:r>
      <w:r>
        <w:rPr>
          <w:rFonts w:hint="eastAsia" w:ascii="宋体" w:hAnsi="宋体" w:eastAsia="宋体" w:cs="宋体"/>
          <w:szCs w:val="21"/>
          <w:lang w:bidi="ar"/>
        </w:rPr>
        <w:t>。</w:t>
      </w:r>
      <w:r>
        <w:rPr>
          <w:rFonts w:ascii="宋体" w:hAnsi="宋体" w:eastAsia="宋体" w:cs="宋体"/>
          <w:szCs w:val="21"/>
          <w:lang w:bidi="ar"/>
        </w:rPr>
        <w:t>100亿市值以下的中小市值公司数量共计3719家，占全部A股数量比例已超七成，从经营状况来看，有2082家公司营业收入较去年同期有所增长，占中小市值公司数量比为55.98%；有1596家公司净利润较去年同期有所增长，占中小市值公司数量比为42.91%。但从经营质量来看，中小市值公司营业收入总额为48383.37亿元，占A股上市公司总额13.72%，净利润总额为1421.75亿元，占A股上市公司总额4.83%，对A股市场贡献远低于高市值公司。</w:t>
      </w:r>
    </w:p>
    <w:p>
      <w:pPr>
        <w:rPr>
          <w:rFonts w:ascii="宋体" w:hAnsi="宋体" w:eastAsia="宋体"/>
        </w:rPr>
      </w:pPr>
      <w:r>
        <w:rPr>
          <w:rFonts w:hint="eastAsia" w:ascii="宋体" w:hAnsi="宋体" w:eastAsia="宋体" w:cs="宋体"/>
          <w:szCs w:val="21"/>
          <w:lang w:bidi="ar"/>
        </w:rPr>
        <w:t>未来，</w:t>
      </w:r>
      <w:r>
        <w:rPr>
          <w:rFonts w:ascii="宋体" w:hAnsi="宋体" w:eastAsia="宋体" w:cs="宋体"/>
          <w:szCs w:val="21"/>
          <w:lang w:bidi="ar"/>
        </w:rPr>
        <w:t>推动中小市值公司</w:t>
      </w:r>
      <w:r>
        <w:rPr>
          <w:rFonts w:hint="eastAsia" w:ascii="宋体" w:hAnsi="宋体" w:eastAsia="宋体" w:cs="宋体"/>
          <w:szCs w:val="21"/>
          <w:lang w:bidi="ar"/>
        </w:rPr>
        <w:t>发展仍然是一项重要的国家战略。</w:t>
      </w:r>
      <w:r>
        <w:rPr>
          <w:rFonts w:ascii="宋体" w:hAnsi="宋体" w:eastAsia="宋体" w:cs="宋体"/>
          <w:szCs w:val="21"/>
          <w:lang w:bidi="ar"/>
        </w:rPr>
        <w:t>中小市值公司发展好</w:t>
      </w:r>
      <w:r>
        <w:rPr>
          <w:rFonts w:hint="eastAsia" w:ascii="宋体" w:hAnsi="宋体" w:eastAsia="宋体" w:cs="宋体"/>
          <w:szCs w:val="21"/>
          <w:lang w:bidi="ar"/>
        </w:rPr>
        <w:t>是A股公司整体发展质量提高的重要基础，也是</w:t>
      </w:r>
      <w:r>
        <w:rPr>
          <w:rFonts w:ascii="宋体" w:hAnsi="宋体" w:eastAsia="宋体" w:cs="宋体"/>
          <w:szCs w:val="21"/>
          <w:lang w:bidi="ar"/>
        </w:rPr>
        <w:t>高市值公司</w:t>
      </w:r>
      <w:r>
        <w:rPr>
          <w:rFonts w:hint="eastAsia" w:ascii="宋体" w:hAnsi="宋体" w:eastAsia="宋体" w:cs="宋体"/>
          <w:szCs w:val="21"/>
          <w:lang w:bidi="ar"/>
        </w:rPr>
        <w:t>长期</w:t>
      </w:r>
      <w:r>
        <w:rPr>
          <w:rFonts w:ascii="宋体" w:hAnsi="宋体" w:eastAsia="宋体" w:cs="宋体"/>
          <w:szCs w:val="21"/>
          <w:lang w:bidi="ar"/>
        </w:rPr>
        <w:t>稳定</w:t>
      </w:r>
      <w:r>
        <w:rPr>
          <w:rFonts w:hint="eastAsia" w:ascii="宋体" w:hAnsi="宋体" w:eastAsia="宋体" w:cs="宋体"/>
          <w:szCs w:val="21"/>
          <w:lang w:bidi="ar"/>
        </w:rPr>
        <w:t>发展的重要配套力量。在推动上市公司发展的综合政策制定和实施中，要抓两头促中间，保证政策的协调性。</w:t>
      </w:r>
    </w:p>
    <w:p>
      <w:pPr>
        <w:pStyle w:val="4"/>
        <w:numPr>
          <w:ilvl w:val="0"/>
          <w:numId w:val="5"/>
        </w:numPr>
      </w:pPr>
      <w:bookmarkStart w:id="214" w:name="_Toc148969295"/>
      <w:bookmarkStart w:id="215" w:name="_Toc147925190"/>
      <w:r>
        <w:rPr>
          <w:rFonts w:hint="eastAsia"/>
        </w:rPr>
        <w:t>重视ESG评级，全面提升上市公司治理水平</w:t>
      </w:r>
      <w:bookmarkEnd w:id="214"/>
      <w:bookmarkEnd w:id="215"/>
    </w:p>
    <w:p>
      <w:pPr>
        <w:rPr>
          <w:rFonts w:ascii="宋体" w:hAnsi="宋体" w:eastAsia="宋体" w:cs="宋体"/>
        </w:rPr>
      </w:pPr>
      <w:r>
        <w:rPr>
          <w:rFonts w:hint="eastAsia" w:ascii="宋体" w:hAnsi="宋体" w:eastAsia="宋体" w:cs="宋体"/>
        </w:rPr>
        <w:t>国际上全面兴起的ESG报告披露和ESG评级是一个重要趋势，预示上市公司必须加大对社会责任、生态环境和公司治理的重视程度。亚太地区最大的100家企业的ESG信息披露意识较高，ESG报告披露率处于领先地位，为89％；欧洲为82％，美洲为74％，中东及非洲为56％。北美洲最大的1</w:t>
      </w:r>
      <w:r>
        <w:rPr>
          <w:rFonts w:ascii="宋体" w:hAnsi="宋体" w:eastAsia="宋体" w:cs="宋体"/>
        </w:rPr>
        <w:t>00</w:t>
      </w:r>
      <w:r>
        <w:rPr>
          <w:rFonts w:hint="eastAsia" w:ascii="宋体" w:hAnsi="宋体" w:eastAsia="宋体" w:cs="宋体"/>
        </w:rPr>
        <w:t>家企业的E</w:t>
      </w:r>
      <w:r>
        <w:rPr>
          <w:rFonts w:ascii="宋体" w:hAnsi="宋体" w:eastAsia="宋体" w:cs="宋体"/>
        </w:rPr>
        <w:t>SG</w:t>
      </w:r>
      <w:r>
        <w:rPr>
          <w:rFonts w:hint="eastAsia" w:ascii="宋体" w:hAnsi="宋体" w:eastAsia="宋体" w:cs="宋体"/>
        </w:rPr>
        <w:t>披露率持续上升，并一直保持更小区域范围内的最高披露率——2022年为97％。同时，根据A股上市公司发布ESG报告统计，从2017年起到2023年10月，A股ESG报告披露数量从807家快速增长至1819家，披露率从15.30%增长至34.49%，趋势明显。值得一提的是，沪深300上市公司ESG报告披露数量从169家发展到284家，披露率从56.33%增长到94.67%，逐步实现标杆企业全覆盖。</w:t>
      </w:r>
    </w:p>
    <w:p>
      <w:pPr>
        <w:rPr>
          <w:rFonts w:ascii="宋体" w:hAnsi="宋体" w:eastAsia="宋体" w:cs="宋体"/>
        </w:rPr>
      </w:pPr>
      <w:r>
        <w:rPr>
          <w:rFonts w:hint="eastAsia" w:ascii="宋体" w:hAnsi="宋体" w:eastAsia="宋体" w:cs="宋体"/>
        </w:rPr>
        <w:t>为提升A股全部上市公司治理水平，可通过：一是加快推进ESG治理，建立完善的监督与激励机制。通过设立专业权威的ESG管理机构推动政策落地，以及制定和实施激励性政策和惩罚性政策，促进企业主动披露ESG信息；二是督促企业自觉履行义务，促进长远发展。即使没有强制ESG报告，企业也应自觉保护环境、为社会作出贡献，注重公司内部治理；三是完善顶层设计，加快规范企业ESG信息披露机制，应进一步规范ESG报告发布制度，提高信息披露的主动性和规范性。</w:t>
      </w:r>
    </w:p>
    <w:p>
      <w:pPr>
        <w:rPr>
          <w:rFonts w:ascii="宋体" w:hAnsi="宋体" w:eastAsia="宋体" w:cs="宋体"/>
        </w:rPr>
      </w:pPr>
    </w:p>
    <w:p>
      <w:pPr>
        <w:pStyle w:val="4"/>
        <w:numPr>
          <w:ilvl w:val="0"/>
          <w:numId w:val="5"/>
        </w:numPr>
        <w:ind w:left="0" w:firstLine="0"/>
      </w:pPr>
      <w:bookmarkStart w:id="216" w:name="_Toc148969296"/>
      <w:bookmarkStart w:id="217" w:name="_Toc147925191"/>
      <w:r>
        <w:rPr>
          <w:rFonts w:hint="eastAsia"/>
        </w:rPr>
        <w:t>以东北地区为试验田，把上市公司发展与国企改革紧密结合</w:t>
      </w:r>
      <w:bookmarkEnd w:id="216"/>
      <w:bookmarkEnd w:id="217"/>
    </w:p>
    <w:p>
      <w:pPr>
        <w:rPr>
          <w:rFonts w:asciiTheme="minorEastAsia" w:hAnsiTheme="minorEastAsia" w:eastAsiaTheme="minorEastAsia"/>
        </w:rPr>
      </w:pPr>
      <w:r>
        <w:rPr>
          <w:rFonts w:hint="eastAsia" w:asciiTheme="minorEastAsia" w:hAnsiTheme="minorEastAsia" w:eastAsiaTheme="minorEastAsia"/>
        </w:rPr>
        <w:t>东北地区在中国经济发展中的重要性是毋庸置疑的，推动老工业基地的转型增长要与</w:t>
      </w:r>
      <w:r>
        <w:rPr>
          <w:rFonts w:asciiTheme="minorEastAsia" w:hAnsiTheme="minorEastAsia" w:eastAsiaTheme="minorEastAsia"/>
        </w:rPr>
        <w:t>A</w:t>
      </w:r>
      <w:r>
        <w:rPr>
          <w:rFonts w:hint="eastAsia" w:asciiTheme="minorEastAsia" w:hAnsiTheme="minorEastAsia" w:eastAsiaTheme="minorEastAsia"/>
        </w:rPr>
        <w:t>股上市公司的发展紧密结合。一是抓好地方政府和上市公司这两个主体的治理的完善和转型。大量实践已经证明，仅有上市公司一方面的治理完善是不够的，必须有地方政府治理的同时完善。推动这两个主体向法制化、市场化要求的方向加快转型。二是通过法制化的健全带动市场化的提高，以市场化的提高促进法制化的完善。三是以上市公司集中的城市为重点，通过政府和上市公司加大信息披露，使法制化和市场化找到抓手。四是通过加快民营控股上市公司的发展，促进区域整体上市公司质量的提升。</w:t>
      </w:r>
    </w:p>
    <w:p>
      <w:pPr>
        <w:pStyle w:val="4"/>
        <w:numPr>
          <w:ilvl w:val="0"/>
          <w:numId w:val="5"/>
        </w:numPr>
      </w:pPr>
      <w:bookmarkStart w:id="218" w:name="_Toc148965110"/>
      <w:bookmarkEnd w:id="218"/>
      <w:bookmarkStart w:id="219" w:name="_Toc148965365"/>
      <w:bookmarkEnd w:id="219"/>
      <w:bookmarkStart w:id="220" w:name="_Toc148965620"/>
      <w:bookmarkEnd w:id="220"/>
      <w:bookmarkStart w:id="221" w:name="_Toc148964855"/>
      <w:bookmarkEnd w:id="221"/>
      <w:bookmarkStart w:id="222" w:name="_Toc147925192"/>
      <w:bookmarkStart w:id="223" w:name="_Toc148969297"/>
      <w:r>
        <w:rPr>
          <w:rFonts w:hint="eastAsia"/>
        </w:rPr>
        <w:t>持续完善</w:t>
      </w:r>
      <w:r>
        <w:t>营商环境</w:t>
      </w:r>
      <w:r>
        <w:rPr>
          <w:rFonts w:hint="eastAsia"/>
        </w:rPr>
        <w:t>，为上市公司发展保驾护航</w:t>
      </w:r>
      <w:bookmarkEnd w:id="222"/>
      <w:bookmarkEnd w:id="223"/>
    </w:p>
    <w:p>
      <w:pPr>
        <w:pStyle w:val="11"/>
        <w:jc w:val="left"/>
        <w:rPr>
          <w:rFonts w:cs="宋体" w:asciiTheme="minorEastAsia" w:hAnsiTheme="minorEastAsia" w:eastAsiaTheme="minorEastAsia"/>
          <w:sz w:val="21"/>
          <w:szCs w:val="21"/>
          <w:lang w:bidi="ar"/>
        </w:rPr>
      </w:pPr>
      <w:r>
        <w:rPr>
          <w:rFonts w:cs="宋体" w:asciiTheme="minorEastAsia" w:hAnsiTheme="minorEastAsia" w:eastAsiaTheme="minorEastAsia"/>
          <w:sz w:val="21"/>
          <w:szCs w:val="21"/>
          <w:lang w:bidi="ar"/>
        </w:rPr>
        <w:t>营商环境是推动A股上市公司</w:t>
      </w:r>
      <w:r>
        <w:rPr>
          <w:rFonts w:hint="eastAsia" w:cs="宋体" w:asciiTheme="minorEastAsia" w:hAnsiTheme="minorEastAsia" w:eastAsiaTheme="minorEastAsia"/>
          <w:sz w:val="21"/>
          <w:szCs w:val="21"/>
          <w:lang w:bidi="ar"/>
        </w:rPr>
        <w:t>未来</w:t>
      </w:r>
      <w:r>
        <w:rPr>
          <w:rFonts w:cs="宋体" w:asciiTheme="minorEastAsia" w:hAnsiTheme="minorEastAsia" w:eastAsiaTheme="minorEastAsia"/>
          <w:sz w:val="21"/>
          <w:szCs w:val="21"/>
          <w:lang w:bidi="ar"/>
        </w:rPr>
        <w:t>增长的关键制度保障，在全面注册制改革的发展趋势之下，优良的营商环境已成为</w:t>
      </w:r>
      <w:r>
        <w:rPr>
          <w:rFonts w:hint="eastAsia" w:cs="宋体" w:asciiTheme="minorEastAsia" w:hAnsiTheme="minorEastAsia" w:eastAsiaTheme="minorEastAsia"/>
          <w:sz w:val="21"/>
          <w:szCs w:val="21"/>
          <w:lang w:bidi="ar"/>
        </w:rPr>
        <w:t>促进</w:t>
      </w:r>
      <w:r>
        <w:rPr>
          <w:rFonts w:cs="宋体" w:asciiTheme="minorEastAsia" w:hAnsiTheme="minorEastAsia" w:eastAsiaTheme="minorEastAsia"/>
          <w:sz w:val="21"/>
          <w:szCs w:val="21"/>
          <w:lang w:bidi="ar"/>
        </w:rPr>
        <w:t>各地区</w:t>
      </w:r>
      <w:r>
        <w:rPr>
          <w:rFonts w:hint="eastAsia" w:cs="宋体" w:asciiTheme="minorEastAsia" w:hAnsiTheme="minorEastAsia" w:eastAsiaTheme="minorEastAsia"/>
          <w:sz w:val="21"/>
          <w:szCs w:val="21"/>
          <w:lang w:bidi="ar"/>
        </w:rPr>
        <w:t>上市公司</w:t>
      </w:r>
      <w:r>
        <w:rPr>
          <w:rFonts w:cs="宋体" w:asciiTheme="minorEastAsia" w:hAnsiTheme="minorEastAsia" w:eastAsiaTheme="minorEastAsia"/>
          <w:sz w:val="21"/>
          <w:szCs w:val="21"/>
          <w:lang w:bidi="ar"/>
        </w:rPr>
        <w:t>发展</w:t>
      </w:r>
      <w:r>
        <w:rPr>
          <w:rFonts w:hint="eastAsia" w:cs="宋体" w:asciiTheme="minorEastAsia" w:hAnsiTheme="minorEastAsia" w:eastAsiaTheme="minorEastAsia"/>
          <w:sz w:val="21"/>
          <w:szCs w:val="21"/>
          <w:lang w:bidi="ar"/>
        </w:rPr>
        <w:t>最强有力抓手</w:t>
      </w:r>
      <w:r>
        <w:rPr>
          <w:rFonts w:cs="宋体" w:asciiTheme="minorEastAsia" w:hAnsiTheme="minorEastAsia" w:eastAsiaTheme="minorEastAsia"/>
          <w:sz w:val="21"/>
          <w:szCs w:val="21"/>
          <w:lang w:bidi="ar"/>
        </w:rPr>
        <w:t>。</w:t>
      </w:r>
      <w:r>
        <w:rPr>
          <w:rFonts w:hint="eastAsia" w:cs="宋体" w:asciiTheme="minorEastAsia" w:hAnsiTheme="minorEastAsia" w:eastAsiaTheme="minorEastAsia"/>
          <w:sz w:val="21"/>
          <w:szCs w:val="21"/>
          <w:lang w:bidi="ar"/>
        </w:rPr>
        <w:t>进一步完善营商环境要以问题为导向，解决上市公司发展中的重点问题。（</w:t>
      </w:r>
      <w:r>
        <w:rPr>
          <w:rFonts w:cs="宋体" w:asciiTheme="minorEastAsia" w:hAnsiTheme="minorEastAsia" w:eastAsiaTheme="minorEastAsia"/>
          <w:sz w:val="21"/>
          <w:szCs w:val="21"/>
          <w:lang w:bidi="ar"/>
        </w:rPr>
        <w:t>1）</w:t>
      </w:r>
      <w:r>
        <w:rPr>
          <w:rFonts w:hint="eastAsia" w:cs="宋体" w:asciiTheme="minorEastAsia" w:hAnsiTheme="minorEastAsia" w:eastAsiaTheme="minorEastAsia"/>
          <w:sz w:val="21"/>
          <w:szCs w:val="21"/>
          <w:lang w:bidi="ar"/>
        </w:rPr>
        <w:t>要重点解决民营上市公司发展中的营商环境完善问题。</w:t>
      </w:r>
      <w:r>
        <w:rPr>
          <w:rFonts w:cs="宋体" w:asciiTheme="minorEastAsia" w:hAnsiTheme="minorEastAsia" w:eastAsiaTheme="minorEastAsia"/>
          <w:sz w:val="21"/>
          <w:szCs w:val="21"/>
          <w:lang w:bidi="ar"/>
        </w:rPr>
        <w:t>（2）</w:t>
      </w:r>
      <w:r>
        <w:rPr>
          <w:rFonts w:hint="eastAsia" w:cs="宋体" w:asciiTheme="minorEastAsia" w:hAnsiTheme="minorEastAsia" w:eastAsiaTheme="minorEastAsia"/>
          <w:sz w:val="21"/>
          <w:szCs w:val="21"/>
          <w:lang w:bidi="ar"/>
        </w:rPr>
        <w:t>要重点解决中小市值上市公司发展中遇到的营商环境问题。</w:t>
      </w:r>
      <w:r>
        <w:rPr>
          <w:rFonts w:cs="宋体" w:asciiTheme="minorEastAsia" w:hAnsiTheme="minorEastAsia" w:eastAsiaTheme="minorEastAsia"/>
          <w:sz w:val="21"/>
          <w:szCs w:val="21"/>
          <w:lang w:bidi="ar"/>
        </w:rPr>
        <w:t>（3）</w:t>
      </w:r>
      <w:r>
        <w:rPr>
          <w:rFonts w:hint="eastAsia" w:cs="宋体" w:asciiTheme="minorEastAsia" w:hAnsiTheme="minorEastAsia" w:eastAsiaTheme="minorEastAsia"/>
          <w:sz w:val="21"/>
          <w:szCs w:val="21"/>
          <w:lang w:bidi="ar"/>
        </w:rPr>
        <w:t>要重点解决民营中小市值上市公司融资难的问题。</w:t>
      </w:r>
      <w:r>
        <w:rPr>
          <w:rFonts w:cs="宋体" w:asciiTheme="minorEastAsia" w:hAnsiTheme="minorEastAsia" w:eastAsiaTheme="minorEastAsia"/>
          <w:sz w:val="21"/>
          <w:szCs w:val="21"/>
          <w:lang w:bidi="ar"/>
        </w:rPr>
        <w:t>（4）</w:t>
      </w:r>
      <w:r>
        <w:rPr>
          <w:rFonts w:hint="eastAsia" w:cs="宋体" w:asciiTheme="minorEastAsia" w:hAnsiTheme="minorEastAsia" w:eastAsiaTheme="minorEastAsia"/>
          <w:sz w:val="21"/>
          <w:szCs w:val="21"/>
          <w:lang w:bidi="ar"/>
        </w:rPr>
        <w:t>要重点解决民营上市公司发展中遇到的制度保障问题，保持政策的连续性</w:t>
      </w:r>
      <w:r>
        <w:rPr>
          <w:rFonts w:cs="宋体" w:asciiTheme="minorEastAsia" w:hAnsiTheme="minorEastAsia" w:eastAsiaTheme="minorEastAsia"/>
          <w:sz w:val="21"/>
          <w:szCs w:val="21"/>
          <w:lang w:bidi="ar"/>
        </w:rPr>
        <w:t>。</w:t>
      </w:r>
      <w:r>
        <w:rPr>
          <w:rFonts w:hint="eastAsia" w:cs="宋体" w:asciiTheme="minorEastAsia" w:hAnsiTheme="minorEastAsia" w:eastAsiaTheme="minorEastAsia"/>
          <w:sz w:val="21"/>
          <w:szCs w:val="21"/>
          <w:lang w:bidi="ar"/>
        </w:rPr>
        <w:t>通过进一步完善营商环境，在</w:t>
      </w:r>
      <w:r>
        <w:rPr>
          <w:rFonts w:cs="宋体" w:asciiTheme="minorEastAsia" w:hAnsiTheme="minorEastAsia" w:eastAsiaTheme="minorEastAsia"/>
          <w:sz w:val="21"/>
          <w:szCs w:val="21"/>
          <w:lang w:bidi="ar"/>
        </w:rPr>
        <w:t>多措并举</w:t>
      </w:r>
      <w:r>
        <w:rPr>
          <w:rFonts w:hint="eastAsia" w:cs="宋体" w:asciiTheme="minorEastAsia" w:hAnsiTheme="minorEastAsia" w:eastAsiaTheme="minorEastAsia"/>
          <w:sz w:val="21"/>
          <w:szCs w:val="21"/>
          <w:lang w:bidi="ar"/>
        </w:rPr>
        <w:t>的形势下，</w:t>
      </w:r>
      <w:r>
        <w:rPr>
          <w:rFonts w:cs="宋体" w:asciiTheme="minorEastAsia" w:hAnsiTheme="minorEastAsia" w:eastAsiaTheme="minorEastAsia"/>
          <w:sz w:val="21"/>
          <w:szCs w:val="21"/>
          <w:lang w:bidi="ar"/>
        </w:rPr>
        <w:t>进一步实现</w:t>
      </w:r>
      <w:r>
        <w:rPr>
          <w:rFonts w:hint="eastAsia" w:cs="宋体" w:asciiTheme="minorEastAsia" w:hAnsiTheme="minorEastAsia" w:eastAsiaTheme="minorEastAsia"/>
          <w:sz w:val="21"/>
          <w:szCs w:val="21"/>
          <w:lang w:bidi="ar"/>
        </w:rPr>
        <w:t>A股上市公司整体的</w:t>
      </w:r>
      <w:r>
        <w:rPr>
          <w:rFonts w:cs="宋体" w:asciiTheme="minorEastAsia" w:hAnsiTheme="minorEastAsia" w:eastAsiaTheme="minorEastAsia"/>
          <w:sz w:val="21"/>
          <w:szCs w:val="21"/>
          <w:lang w:bidi="ar"/>
        </w:rPr>
        <w:t>高质量发展，为国家和地区经济作出更大贡献。</w:t>
      </w:r>
    </w:p>
    <w:p>
      <w:pPr>
        <w:pStyle w:val="11"/>
        <w:jc w:val="left"/>
        <w:rPr>
          <w:rFonts w:cs="宋体" w:asciiTheme="minorEastAsia" w:hAnsiTheme="minorEastAsia" w:eastAsiaTheme="minorEastAsia"/>
          <w:sz w:val="21"/>
          <w:szCs w:val="21"/>
          <w:lang w:bidi="ar"/>
        </w:rPr>
      </w:pPr>
    </w:p>
    <w:sectPr>
      <w:pgSz w:w="11906" w:h="16838"/>
      <w:pgMar w:top="1440" w:right="1800" w:bottom="1440" w:left="1800" w:header="851" w:footer="57"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367921"/>
    </w:sdtPr>
    <w:sdtContent>
      <w:sdt>
        <w:sdtPr>
          <w:id w:val="1728636285"/>
        </w:sdtPr>
        <w:sdtContent>
          <w:p>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360" w:lineRule="auto"/>
        <w:ind w:firstLine="420"/>
      </w:pPr>
      <w:r>
        <w:separator/>
      </w:r>
    </w:p>
  </w:footnote>
  <w:footnote w:type="continuationSeparator" w:id="7">
    <w:p>
      <w:pPr>
        <w:spacing w:line="360" w:lineRule="auto"/>
        <w:ind w:firstLine="420"/>
      </w:pPr>
      <w:r>
        <w:continuationSeparator/>
      </w:r>
    </w:p>
  </w:footnote>
  <w:footnote w:id="0">
    <w:p>
      <w:pPr>
        <w:pStyle w:val="13"/>
        <w:ind w:firstLine="360"/>
      </w:pPr>
      <w:r>
        <w:rPr>
          <w:rStyle w:val="26"/>
        </w:rPr>
        <w:footnoteRef/>
      </w:r>
      <w:r>
        <w:t xml:space="preserve"> </w:t>
      </w:r>
      <w:r>
        <w:rPr>
          <w:rFonts w:hint="eastAsia"/>
        </w:rPr>
        <w:t>黄运成，中国上市公司协会学术顾问委员会主任委员</w:t>
      </w:r>
    </w:p>
  </w:footnote>
  <w:footnote w:id="1">
    <w:p>
      <w:pPr>
        <w:pStyle w:val="13"/>
        <w:ind w:firstLine="360"/>
      </w:pPr>
      <w:r>
        <w:rPr>
          <w:rStyle w:val="26"/>
        </w:rPr>
        <w:footnoteRef/>
      </w:r>
      <w:r>
        <w:t xml:space="preserve"> </w:t>
      </w:r>
      <w:r>
        <w:rPr>
          <w:rFonts w:hint="eastAsia"/>
        </w:rPr>
        <w:t>苏梅，中国上市公司协会学术顾问委员会副主任委员</w:t>
      </w:r>
    </w:p>
  </w:footnote>
  <w:footnote w:id="2">
    <w:p>
      <w:pPr>
        <w:pStyle w:val="13"/>
        <w:ind w:firstLine="360"/>
      </w:pPr>
      <w:r>
        <w:rPr>
          <w:rStyle w:val="26"/>
        </w:rPr>
        <w:footnoteRef/>
      </w:r>
      <w:r>
        <w:t xml:space="preserve"> </w:t>
      </w:r>
      <w:r>
        <w:rPr>
          <w:rFonts w:hint="eastAsia"/>
        </w:rPr>
        <w:t>邢宇奇，深圳价值在线信息科技股份有限公司研究员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FE6442"/>
    <w:multiLevelType w:val="multilevel"/>
    <w:tmpl w:val="1CFE6442"/>
    <w:lvl w:ilvl="0" w:tentative="0">
      <w:start w:val="1"/>
      <w:numFmt w:val="chineseCountingThousand"/>
      <w:pStyle w:val="3"/>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6827BC9"/>
    <w:multiLevelType w:val="multilevel"/>
    <w:tmpl w:val="56827BC9"/>
    <w:lvl w:ilvl="0" w:tentative="0">
      <w:start w:val="1"/>
      <w:numFmt w:val="chineseCountingThousand"/>
      <w:pStyle w:val="4"/>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zOTRjNTQxNGMyNjM1OTljZmEzZDI1M2M3MmU0YWMifQ=="/>
  </w:docVars>
  <w:rsids>
    <w:rsidRoot w:val="00D367EE"/>
    <w:rsid w:val="00003CF2"/>
    <w:rsid w:val="00006598"/>
    <w:rsid w:val="00006AC4"/>
    <w:rsid w:val="00006C48"/>
    <w:rsid w:val="00007C5C"/>
    <w:rsid w:val="00010593"/>
    <w:rsid w:val="000109C4"/>
    <w:rsid w:val="0001281B"/>
    <w:rsid w:val="00015939"/>
    <w:rsid w:val="000211FB"/>
    <w:rsid w:val="00024363"/>
    <w:rsid w:val="00027149"/>
    <w:rsid w:val="000271B2"/>
    <w:rsid w:val="00027C1B"/>
    <w:rsid w:val="00030D8D"/>
    <w:rsid w:val="00041EBF"/>
    <w:rsid w:val="000508A2"/>
    <w:rsid w:val="00061875"/>
    <w:rsid w:val="000664A0"/>
    <w:rsid w:val="00066831"/>
    <w:rsid w:val="000709FA"/>
    <w:rsid w:val="00071452"/>
    <w:rsid w:val="0007636B"/>
    <w:rsid w:val="00076382"/>
    <w:rsid w:val="00076BD0"/>
    <w:rsid w:val="00085E19"/>
    <w:rsid w:val="00087ACD"/>
    <w:rsid w:val="00092372"/>
    <w:rsid w:val="000923C1"/>
    <w:rsid w:val="000936C5"/>
    <w:rsid w:val="00094691"/>
    <w:rsid w:val="000971ED"/>
    <w:rsid w:val="000A012D"/>
    <w:rsid w:val="000A4E57"/>
    <w:rsid w:val="000A72CA"/>
    <w:rsid w:val="000B1F27"/>
    <w:rsid w:val="000B213E"/>
    <w:rsid w:val="000B34E6"/>
    <w:rsid w:val="000B3FE7"/>
    <w:rsid w:val="000B4FB8"/>
    <w:rsid w:val="000B68EC"/>
    <w:rsid w:val="000B69E8"/>
    <w:rsid w:val="000C0D82"/>
    <w:rsid w:val="000C0E98"/>
    <w:rsid w:val="000C3518"/>
    <w:rsid w:val="000C55B0"/>
    <w:rsid w:val="000C631E"/>
    <w:rsid w:val="000C6B37"/>
    <w:rsid w:val="000D051E"/>
    <w:rsid w:val="000D31EC"/>
    <w:rsid w:val="000D70BF"/>
    <w:rsid w:val="000D782E"/>
    <w:rsid w:val="000D7AD7"/>
    <w:rsid w:val="000E2C38"/>
    <w:rsid w:val="000E570A"/>
    <w:rsid w:val="000E6786"/>
    <w:rsid w:val="000F0116"/>
    <w:rsid w:val="000F60BD"/>
    <w:rsid w:val="00102BE4"/>
    <w:rsid w:val="001066DE"/>
    <w:rsid w:val="00111B26"/>
    <w:rsid w:val="001122CB"/>
    <w:rsid w:val="00115A21"/>
    <w:rsid w:val="00116538"/>
    <w:rsid w:val="00116B36"/>
    <w:rsid w:val="00122E1F"/>
    <w:rsid w:val="00124658"/>
    <w:rsid w:val="00124B32"/>
    <w:rsid w:val="00124DD8"/>
    <w:rsid w:val="00125EF8"/>
    <w:rsid w:val="00126E8A"/>
    <w:rsid w:val="00134557"/>
    <w:rsid w:val="00135073"/>
    <w:rsid w:val="00137E40"/>
    <w:rsid w:val="00141EC1"/>
    <w:rsid w:val="0014279D"/>
    <w:rsid w:val="00142E80"/>
    <w:rsid w:val="001459B5"/>
    <w:rsid w:val="00146720"/>
    <w:rsid w:val="0015023E"/>
    <w:rsid w:val="001508FF"/>
    <w:rsid w:val="00151D2F"/>
    <w:rsid w:val="0015463F"/>
    <w:rsid w:val="00162D2A"/>
    <w:rsid w:val="0017088E"/>
    <w:rsid w:val="0017129C"/>
    <w:rsid w:val="00172BD1"/>
    <w:rsid w:val="00184A58"/>
    <w:rsid w:val="00184F09"/>
    <w:rsid w:val="00191301"/>
    <w:rsid w:val="00192765"/>
    <w:rsid w:val="00193762"/>
    <w:rsid w:val="00193EA5"/>
    <w:rsid w:val="001946B6"/>
    <w:rsid w:val="00194C3D"/>
    <w:rsid w:val="00197D0C"/>
    <w:rsid w:val="001A18F9"/>
    <w:rsid w:val="001A2582"/>
    <w:rsid w:val="001A4DCC"/>
    <w:rsid w:val="001A692B"/>
    <w:rsid w:val="001A7711"/>
    <w:rsid w:val="001B1A0B"/>
    <w:rsid w:val="001B1E56"/>
    <w:rsid w:val="001B3493"/>
    <w:rsid w:val="001B5456"/>
    <w:rsid w:val="001C0544"/>
    <w:rsid w:val="001C14ED"/>
    <w:rsid w:val="001C2E3B"/>
    <w:rsid w:val="001C7ABA"/>
    <w:rsid w:val="001D2BBD"/>
    <w:rsid w:val="001D6980"/>
    <w:rsid w:val="001D6B9C"/>
    <w:rsid w:val="001E0356"/>
    <w:rsid w:val="001E0F50"/>
    <w:rsid w:val="001E1318"/>
    <w:rsid w:val="001E3C46"/>
    <w:rsid w:val="001F18ED"/>
    <w:rsid w:val="001F3825"/>
    <w:rsid w:val="001F6FAD"/>
    <w:rsid w:val="00200A1C"/>
    <w:rsid w:val="00200DD1"/>
    <w:rsid w:val="00202554"/>
    <w:rsid w:val="002029D9"/>
    <w:rsid w:val="00202BA8"/>
    <w:rsid w:val="00204077"/>
    <w:rsid w:val="0020426F"/>
    <w:rsid w:val="00204DED"/>
    <w:rsid w:val="002050DE"/>
    <w:rsid w:val="002053E0"/>
    <w:rsid w:val="00207852"/>
    <w:rsid w:val="0021289D"/>
    <w:rsid w:val="00215FA4"/>
    <w:rsid w:val="0021711B"/>
    <w:rsid w:val="002205E9"/>
    <w:rsid w:val="002208B5"/>
    <w:rsid w:val="002238F4"/>
    <w:rsid w:val="00223910"/>
    <w:rsid w:val="00223A22"/>
    <w:rsid w:val="002243AB"/>
    <w:rsid w:val="00225F43"/>
    <w:rsid w:val="002320F8"/>
    <w:rsid w:val="00233368"/>
    <w:rsid w:val="002342AE"/>
    <w:rsid w:val="00234581"/>
    <w:rsid w:val="00235170"/>
    <w:rsid w:val="00236091"/>
    <w:rsid w:val="0023657F"/>
    <w:rsid w:val="00244B50"/>
    <w:rsid w:val="00245ED0"/>
    <w:rsid w:val="00250AEE"/>
    <w:rsid w:val="00250EBF"/>
    <w:rsid w:val="0025437C"/>
    <w:rsid w:val="00255656"/>
    <w:rsid w:val="00257169"/>
    <w:rsid w:val="00261940"/>
    <w:rsid w:val="00265CCE"/>
    <w:rsid w:val="0027338D"/>
    <w:rsid w:val="002758A0"/>
    <w:rsid w:val="00277BE2"/>
    <w:rsid w:val="00277D76"/>
    <w:rsid w:val="002804E5"/>
    <w:rsid w:val="002833DE"/>
    <w:rsid w:val="0029005F"/>
    <w:rsid w:val="00292B8C"/>
    <w:rsid w:val="0029499E"/>
    <w:rsid w:val="00294EFA"/>
    <w:rsid w:val="00296652"/>
    <w:rsid w:val="0029788C"/>
    <w:rsid w:val="002A2E52"/>
    <w:rsid w:val="002A3484"/>
    <w:rsid w:val="002A4408"/>
    <w:rsid w:val="002A751B"/>
    <w:rsid w:val="002B5C23"/>
    <w:rsid w:val="002B726B"/>
    <w:rsid w:val="002C2C5F"/>
    <w:rsid w:val="002C508D"/>
    <w:rsid w:val="002C60F2"/>
    <w:rsid w:val="002D150B"/>
    <w:rsid w:val="002D1AAC"/>
    <w:rsid w:val="002D4275"/>
    <w:rsid w:val="002D72D0"/>
    <w:rsid w:val="002E094C"/>
    <w:rsid w:val="002F2F13"/>
    <w:rsid w:val="002F70F0"/>
    <w:rsid w:val="0030049F"/>
    <w:rsid w:val="003024B8"/>
    <w:rsid w:val="0030365A"/>
    <w:rsid w:val="0030397C"/>
    <w:rsid w:val="003069A1"/>
    <w:rsid w:val="00310302"/>
    <w:rsid w:val="0031519E"/>
    <w:rsid w:val="003160A5"/>
    <w:rsid w:val="00316653"/>
    <w:rsid w:val="003205F6"/>
    <w:rsid w:val="003225CF"/>
    <w:rsid w:val="00322620"/>
    <w:rsid w:val="0032380B"/>
    <w:rsid w:val="00324CC5"/>
    <w:rsid w:val="00327F72"/>
    <w:rsid w:val="003359A6"/>
    <w:rsid w:val="00342B7F"/>
    <w:rsid w:val="00343F9D"/>
    <w:rsid w:val="0034511C"/>
    <w:rsid w:val="00345FFC"/>
    <w:rsid w:val="003557D0"/>
    <w:rsid w:val="0036022A"/>
    <w:rsid w:val="00361D14"/>
    <w:rsid w:val="0036439F"/>
    <w:rsid w:val="00370FE0"/>
    <w:rsid w:val="003725A6"/>
    <w:rsid w:val="00376F29"/>
    <w:rsid w:val="00377EA8"/>
    <w:rsid w:val="00381F55"/>
    <w:rsid w:val="003828EE"/>
    <w:rsid w:val="0038605B"/>
    <w:rsid w:val="00387886"/>
    <w:rsid w:val="0039152D"/>
    <w:rsid w:val="00394F83"/>
    <w:rsid w:val="003957FA"/>
    <w:rsid w:val="003A1DAC"/>
    <w:rsid w:val="003A3E67"/>
    <w:rsid w:val="003B00AF"/>
    <w:rsid w:val="003B0CE4"/>
    <w:rsid w:val="003B3724"/>
    <w:rsid w:val="003B79F2"/>
    <w:rsid w:val="003B7DB5"/>
    <w:rsid w:val="003C02B7"/>
    <w:rsid w:val="003C0BBE"/>
    <w:rsid w:val="003C1CCC"/>
    <w:rsid w:val="003C32D8"/>
    <w:rsid w:val="003C3753"/>
    <w:rsid w:val="003C3905"/>
    <w:rsid w:val="003C5D55"/>
    <w:rsid w:val="003C7475"/>
    <w:rsid w:val="003D0738"/>
    <w:rsid w:val="003D1195"/>
    <w:rsid w:val="003D7E02"/>
    <w:rsid w:val="003E0442"/>
    <w:rsid w:val="003E42FC"/>
    <w:rsid w:val="003E5444"/>
    <w:rsid w:val="003F0C20"/>
    <w:rsid w:val="003F2EBB"/>
    <w:rsid w:val="003F4D92"/>
    <w:rsid w:val="003F6D37"/>
    <w:rsid w:val="00400656"/>
    <w:rsid w:val="0040210A"/>
    <w:rsid w:val="00404327"/>
    <w:rsid w:val="004049B7"/>
    <w:rsid w:val="004064EA"/>
    <w:rsid w:val="00406E4A"/>
    <w:rsid w:val="00410C3D"/>
    <w:rsid w:val="0041368C"/>
    <w:rsid w:val="0041382E"/>
    <w:rsid w:val="00414B36"/>
    <w:rsid w:val="004156C5"/>
    <w:rsid w:val="00417E7C"/>
    <w:rsid w:val="00421CD0"/>
    <w:rsid w:val="004221A9"/>
    <w:rsid w:val="00424D06"/>
    <w:rsid w:val="0043263B"/>
    <w:rsid w:val="00432C7A"/>
    <w:rsid w:val="004366D4"/>
    <w:rsid w:val="00436EB8"/>
    <w:rsid w:val="00440C9B"/>
    <w:rsid w:val="00441FC4"/>
    <w:rsid w:val="00442E99"/>
    <w:rsid w:val="00444ED1"/>
    <w:rsid w:val="0045136A"/>
    <w:rsid w:val="004543EE"/>
    <w:rsid w:val="00456097"/>
    <w:rsid w:val="004572B9"/>
    <w:rsid w:val="00471235"/>
    <w:rsid w:val="00471967"/>
    <w:rsid w:val="00481987"/>
    <w:rsid w:val="004819E8"/>
    <w:rsid w:val="0048272A"/>
    <w:rsid w:val="00484DA2"/>
    <w:rsid w:val="004857A0"/>
    <w:rsid w:val="00487D52"/>
    <w:rsid w:val="00496CAC"/>
    <w:rsid w:val="004A37EA"/>
    <w:rsid w:val="004A41B8"/>
    <w:rsid w:val="004A4BCC"/>
    <w:rsid w:val="004A5854"/>
    <w:rsid w:val="004A66FB"/>
    <w:rsid w:val="004A784E"/>
    <w:rsid w:val="004C2AB0"/>
    <w:rsid w:val="004C2BF0"/>
    <w:rsid w:val="004C74AE"/>
    <w:rsid w:val="004C7870"/>
    <w:rsid w:val="004D1FE8"/>
    <w:rsid w:val="004D3ED0"/>
    <w:rsid w:val="004D7643"/>
    <w:rsid w:val="004D78EE"/>
    <w:rsid w:val="004E02ED"/>
    <w:rsid w:val="004E104C"/>
    <w:rsid w:val="004E1971"/>
    <w:rsid w:val="004E4763"/>
    <w:rsid w:val="004E4C52"/>
    <w:rsid w:val="004E5C57"/>
    <w:rsid w:val="004E60AF"/>
    <w:rsid w:val="004F2EE2"/>
    <w:rsid w:val="004F53D2"/>
    <w:rsid w:val="004F635A"/>
    <w:rsid w:val="004F7CDB"/>
    <w:rsid w:val="0050014B"/>
    <w:rsid w:val="00503F33"/>
    <w:rsid w:val="005061BD"/>
    <w:rsid w:val="0051041E"/>
    <w:rsid w:val="00512A91"/>
    <w:rsid w:val="00512C13"/>
    <w:rsid w:val="00513EA3"/>
    <w:rsid w:val="00514643"/>
    <w:rsid w:val="00514D36"/>
    <w:rsid w:val="00515B2A"/>
    <w:rsid w:val="00516EA0"/>
    <w:rsid w:val="00517AEA"/>
    <w:rsid w:val="00520FE0"/>
    <w:rsid w:val="00521F53"/>
    <w:rsid w:val="00530BD6"/>
    <w:rsid w:val="00530D68"/>
    <w:rsid w:val="005319F2"/>
    <w:rsid w:val="005320C5"/>
    <w:rsid w:val="00532751"/>
    <w:rsid w:val="005327FA"/>
    <w:rsid w:val="00533F8D"/>
    <w:rsid w:val="005375B3"/>
    <w:rsid w:val="00541BAD"/>
    <w:rsid w:val="005427D2"/>
    <w:rsid w:val="005433BD"/>
    <w:rsid w:val="005440FE"/>
    <w:rsid w:val="00544535"/>
    <w:rsid w:val="00546331"/>
    <w:rsid w:val="0055303F"/>
    <w:rsid w:val="005606FF"/>
    <w:rsid w:val="0056185C"/>
    <w:rsid w:val="00563041"/>
    <w:rsid w:val="005645E4"/>
    <w:rsid w:val="00567D8F"/>
    <w:rsid w:val="00570BCB"/>
    <w:rsid w:val="00571BEF"/>
    <w:rsid w:val="00572652"/>
    <w:rsid w:val="005742C2"/>
    <w:rsid w:val="005743B9"/>
    <w:rsid w:val="00582A3B"/>
    <w:rsid w:val="005848F6"/>
    <w:rsid w:val="005858D3"/>
    <w:rsid w:val="0058740B"/>
    <w:rsid w:val="00587D2A"/>
    <w:rsid w:val="005901FE"/>
    <w:rsid w:val="00590454"/>
    <w:rsid w:val="0059061C"/>
    <w:rsid w:val="00591C93"/>
    <w:rsid w:val="00594D62"/>
    <w:rsid w:val="00594DE2"/>
    <w:rsid w:val="005952CE"/>
    <w:rsid w:val="00597E5C"/>
    <w:rsid w:val="005A0EC0"/>
    <w:rsid w:val="005A59F1"/>
    <w:rsid w:val="005B07D9"/>
    <w:rsid w:val="005B2E0E"/>
    <w:rsid w:val="005B4DBF"/>
    <w:rsid w:val="005B6945"/>
    <w:rsid w:val="005B76B0"/>
    <w:rsid w:val="005C0F15"/>
    <w:rsid w:val="005C2213"/>
    <w:rsid w:val="005C3C10"/>
    <w:rsid w:val="005C3EDE"/>
    <w:rsid w:val="005C4E13"/>
    <w:rsid w:val="005C7C43"/>
    <w:rsid w:val="005D1614"/>
    <w:rsid w:val="005D20E6"/>
    <w:rsid w:val="005D498E"/>
    <w:rsid w:val="005D663C"/>
    <w:rsid w:val="005E41A3"/>
    <w:rsid w:val="005E7092"/>
    <w:rsid w:val="005E73D9"/>
    <w:rsid w:val="005F1DD5"/>
    <w:rsid w:val="005F22E8"/>
    <w:rsid w:val="005F2E3C"/>
    <w:rsid w:val="005F41C8"/>
    <w:rsid w:val="005F45A5"/>
    <w:rsid w:val="005F5AD6"/>
    <w:rsid w:val="005F69A5"/>
    <w:rsid w:val="0060301E"/>
    <w:rsid w:val="00605C17"/>
    <w:rsid w:val="00605FF2"/>
    <w:rsid w:val="00607089"/>
    <w:rsid w:val="00610A49"/>
    <w:rsid w:val="006114A3"/>
    <w:rsid w:val="006137DD"/>
    <w:rsid w:val="00614FCE"/>
    <w:rsid w:val="00615891"/>
    <w:rsid w:val="00616406"/>
    <w:rsid w:val="00617EAC"/>
    <w:rsid w:val="00621745"/>
    <w:rsid w:val="0062235C"/>
    <w:rsid w:val="00623210"/>
    <w:rsid w:val="0062622F"/>
    <w:rsid w:val="006418C7"/>
    <w:rsid w:val="00641DEE"/>
    <w:rsid w:val="00642985"/>
    <w:rsid w:val="006477BA"/>
    <w:rsid w:val="00652B3F"/>
    <w:rsid w:val="006531F5"/>
    <w:rsid w:val="00654050"/>
    <w:rsid w:val="006563AD"/>
    <w:rsid w:val="00656D2A"/>
    <w:rsid w:val="00662495"/>
    <w:rsid w:val="00671ED9"/>
    <w:rsid w:val="0067472F"/>
    <w:rsid w:val="00676034"/>
    <w:rsid w:val="0068224E"/>
    <w:rsid w:val="00683892"/>
    <w:rsid w:val="00692104"/>
    <w:rsid w:val="00692E07"/>
    <w:rsid w:val="006941D9"/>
    <w:rsid w:val="0069467E"/>
    <w:rsid w:val="006965C4"/>
    <w:rsid w:val="00696CFE"/>
    <w:rsid w:val="00696D8C"/>
    <w:rsid w:val="006A2BE6"/>
    <w:rsid w:val="006A2CDB"/>
    <w:rsid w:val="006A6A2D"/>
    <w:rsid w:val="006A759F"/>
    <w:rsid w:val="006B0A7F"/>
    <w:rsid w:val="006B15D8"/>
    <w:rsid w:val="006B2394"/>
    <w:rsid w:val="006B2752"/>
    <w:rsid w:val="006B62DD"/>
    <w:rsid w:val="006B72AB"/>
    <w:rsid w:val="006C10AB"/>
    <w:rsid w:val="006C13DC"/>
    <w:rsid w:val="006D0A94"/>
    <w:rsid w:val="006D1C32"/>
    <w:rsid w:val="006D1EF9"/>
    <w:rsid w:val="006D2A1A"/>
    <w:rsid w:val="006D5283"/>
    <w:rsid w:val="006D7BB4"/>
    <w:rsid w:val="006E2549"/>
    <w:rsid w:val="006E53D0"/>
    <w:rsid w:val="006E599B"/>
    <w:rsid w:val="006E678F"/>
    <w:rsid w:val="006F1674"/>
    <w:rsid w:val="007000DC"/>
    <w:rsid w:val="00701374"/>
    <w:rsid w:val="00701BC8"/>
    <w:rsid w:val="00703F97"/>
    <w:rsid w:val="00706EE2"/>
    <w:rsid w:val="007202BF"/>
    <w:rsid w:val="00720DC1"/>
    <w:rsid w:val="00720F5C"/>
    <w:rsid w:val="007216F1"/>
    <w:rsid w:val="00722C94"/>
    <w:rsid w:val="00730A4F"/>
    <w:rsid w:val="007314D9"/>
    <w:rsid w:val="007353E8"/>
    <w:rsid w:val="00735406"/>
    <w:rsid w:val="00735D01"/>
    <w:rsid w:val="007401EA"/>
    <w:rsid w:val="00744727"/>
    <w:rsid w:val="007468F2"/>
    <w:rsid w:val="00750083"/>
    <w:rsid w:val="00750F42"/>
    <w:rsid w:val="007511EB"/>
    <w:rsid w:val="00752126"/>
    <w:rsid w:val="00752A1F"/>
    <w:rsid w:val="00757CE7"/>
    <w:rsid w:val="00760005"/>
    <w:rsid w:val="007634E6"/>
    <w:rsid w:val="00763853"/>
    <w:rsid w:val="007668A1"/>
    <w:rsid w:val="00766B0A"/>
    <w:rsid w:val="00767020"/>
    <w:rsid w:val="00771A7E"/>
    <w:rsid w:val="00773274"/>
    <w:rsid w:val="007771D9"/>
    <w:rsid w:val="00781764"/>
    <w:rsid w:val="0078516E"/>
    <w:rsid w:val="007933FF"/>
    <w:rsid w:val="007A02CF"/>
    <w:rsid w:val="007A1505"/>
    <w:rsid w:val="007A1808"/>
    <w:rsid w:val="007A6C1E"/>
    <w:rsid w:val="007B1FBE"/>
    <w:rsid w:val="007B2951"/>
    <w:rsid w:val="007B4836"/>
    <w:rsid w:val="007B58BE"/>
    <w:rsid w:val="007B6496"/>
    <w:rsid w:val="007C0003"/>
    <w:rsid w:val="007C2B78"/>
    <w:rsid w:val="007D0319"/>
    <w:rsid w:val="007D2661"/>
    <w:rsid w:val="007D3762"/>
    <w:rsid w:val="007D4B85"/>
    <w:rsid w:val="007D4CF2"/>
    <w:rsid w:val="007D6D99"/>
    <w:rsid w:val="007E1FEA"/>
    <w:rsid w:val="007E4035"/>
    <w:rsid w:val="007F0077"/>
    <w:rsid w:val="007F1B3B"/>
    <w:rsid w:val="007F3889"/>
    <w:rsid w:val="007F39E0"/>
    <w:rsid w:val="007F534A"/>
    <w:rsid w:val="007F6016"/>
    <w:rsid w:val="007F7E05"/>
    <w:rsid w:val="0080091E"/>
    <w:rsid w:val="00801407"/>
    <w:rsid w:val="0080321B"/>
    <w:rsid w:val="00804467"/>
    <w:rsid w:val="00805718"/>
    <w:rsid w:val="0080711E"/>
    <w:rsid w:val="0080763F"/>
    <w:rsid w:val="00810384"/>
    <w:rsid w:val="008172B3"/>
    <w:rsid w:val="008202B0"/>
    <w:rsid w:val="00820F17"/>
    <w:rsid w:val="00821898"/>
    <w:rsid w:val="00827A38"/>
    <w:rsid w:val="00827D19"/>
    <w:rsid w:val="008341AF"/>
    <w:rsid w:val="008413B2"/>
    <w:rsid w:val="008413CF"/>
    <w:rsid w:val="0084178A"/>
    <w:rsid w:val="0084282A"/>
    <w:rsid w:val="00843C56"/>
    <w:rsid w:val="0084656C"/>
    <w:rsid w:val="008465B0"/>
    <w:rsid w:val="00847D6F"/>
    <w:rsid w:val="00850DAD"/>
    <w:rsid w:val="00851D82"/>
    <w:rsid w:val="00854AFA"/>
    <w:rsid w:val="008571AD"/>
    <w:rsid w:val="008574E9"/>
    <w:rsid w:val="00863533"/>
    <w:rsid w:val="00866113"/>
    <w:rsid w:val="00866E19"/>
    <w:rsid w:val="00871336"/>
    <w:rsid w:val="00871459"/>
    <w:rsid w:val="00874FFB"/>
    <w:rsid w:val="0087657F"/>
    <w:rsid w:val="0087688A"/>
    <w:rsid w:val="008823D2"/>
    <w:rsid w:val="008829AE"/>
    <w:rsid w:val="00885729"/>
    <w:rsid w:val="0088614D"/>
    <w:rsid w:val="00887FC4"/>
    <w:rsid w:val="008908F3"/>
    <w:rsid w:val="00892A80"/>
    <w:rsid w:val="008A4397"/>
    <w:rsid w:val="008A5873"/>
    <w:rsid w:val="008A6CBD"/>
    <w:rsid w:val="008A700A"/>
    <w:rsid w:val="008A7E58"/>
    <w:rsid w:val="008B1183"/>
    <w:rsid w:val="008B1681"/>
    <w:rsid w:val="008B3BF9"/>
    <w:rsid w:val="008B3E8E"/>
    <w:rsid w:val="008B4F2E"/>
    <w:rsid w:val="008B6C5E"/>
    <w:rsid w:val="008C132C"/>
    <w:rsid w:val="008C1C12"/>
    <w:rsid w:val="008C2527"/>
    <w:rsid w:val="008C2F5A"/>
    <w:rsid w:val="008C4B03"/>
    <w:rsid w:val="008C5C31"/>
    <w:rsid w:val="008D1C4B"/>
    <w:rsid w:val="008D4EDF"/>
    <w:rsid w:val="008D65A0"/>
    <w:rsid w:val="008D7123"/>
    <w:rsid w:val="008D78FB"/>
    <w:rsid w:val="008E1D86"/>
    <w:rsid w:val="008E4ABB"/>
    <w:rsid w:val="008E54B6"/>
    <w:rsid w:val="008E5B17"/>
    <w:rsid w:val="008F3F60"/>
    <w:rsid w:val="008F49B9"/>
    <w:rsid w:val="0090195C"/>
    <w:rsid w:val="0090645D"/>
    <w:rsid w:val="00906F76"/>
    <w:rsid w:val="00907F63"/>
    <w:rsid w:val="00910756"/>
    <w:rsid w:val="00912870"/>
    <w:rsid w:val="009139E4"/>
    <w:rsid w:val="00922DEB"/>
    <w:rsid w:val="009232A8"/>
    <w:rsid w:val="00923640"/>
    <w:rsid w:val="00925CD2"/>
    <w:rsid w:val="00926510"/>
    <w:rsid w:val="00926AAE"/>
    <w:rsid w:val="00927A49"/>
    <w:rsid w:val="00930503"/>
    <w:rsid w:val="0093417E"/>
    <w:rsid w:val="00937047"/>
    <w:rsid w:val="00942BC9"/>
    <w:rsid w:val="00944F15"/>
    <w:rsid w:val="00947369"/>
    <w:rsid w:val="0095227E"/>
    <w:rsid w:val="0095540B"/>
    <w:rsid w:val="00955D75"/>
    <w:rsid w:val="009563EF"/>
    <w:rsid w:val="00960251"/>
    <w:rsid w:val="0096055B"/>
    <w:rsid w:val="00961F2B"/>
    <w:rsid w:val="00962283"/>
    <w:rsid w:val="009652EF"/>
    <w:rsid w:val="0096739B"/>
    <w:rsid w:val="0097010C"/>
    <w:rsid w:val="00976E7E"/>
    <w:rsid w:val="009838C1"/>
    <w:rsid w:val="00983CF8"/>
    <w:rsid w:val="009866BA"/>
    <w:rsid w:val="009868D6"/>
    <w:rsid w:val="00986FAF"/>
    <w:rsid w:val="00991606"/>
    <w:rsid w:val="009927B8"/>
    <w:rsid w:val="009A1AFC"/>
    <w:rsid w:val="009A214C"/>
    <w:rsid w:val="009A5BEA"/>
    <w:rsid w:val="009A7181"/>
    <w:rsid w:val="009B2BFB"/>
    <w:rsid w:val="009B5005"/>
    <w:rsid w:val="009C1335"/>
    <w:rsid w:val="009C23BB"/>
    <w:rsid w:val="009C393F"/>
    <w:rsid w:val="009D1A95"/>
    <w:rsid w:val="009D2939"/>
    <w:rsid w:val="009D31E8"/>
    <w:rsid w:val="009D5C25"/>
    <w:rsid w:val="009D74DD"/>
    <w:rsid w:val="009E1B23"/>
    <w:rsid w:val="009E2D2B"/>
    <w:rsid w:val="009E318F"/>
    <w:rsid w:val="009E62D9"/>
    <w:rsid w:val="009E63DB"/>
    <w:rsid w:val="009F5D23"/>
    <w:rsid w:val="00A007A1"/>
    <w:rsid w:val="00A01542"/>
    <w:rsid w:val="00A03B46"/>
    <w:rsid w:val="00A07DE0"/>
    <w:rsid w:val="00A10AA2"/>
    <w:rsid w:val="00A1666C"/>
    <w:rsid w:val="00A16D37"/>
    <w:rsid w:val="00A26C43"/>
    <w:rsid w:val="00A3030B"/>
    <w:rsid w:val="00A41036"/>
    <w:rsid w:val="00A51482"/>
    <w:rsid w:val="00A54514"/>
    <w:rsid w:val="00A54A76"/>
    <w:rsid w:val="00A6086D"/>
    <w:rsid w:val="00A613DC"/>
    <w:rsid w:val="00A6165C"/>
    <w:rsid w:val="00A65C0F"/>
    <w:rsid w:val="00A66249"/>
    <w:rsid w:val="00A67D4D"/>
    <w:rsid w:val="00A70E9F"/>
    <w:rsid w:val="00A7527C"/>
    <w:rsid w:val="00A75453"/>
    <w:rsid w:val="00A80288"/>
    <w:rsid w:val="00A822AE"/>
    <w:rsid w:val="00A82D4C"/>
    <w:rsid w:val="00A92FB4"/>
    <w:rsid w:val="00A94B6D"/>
    <w:rsid w:val="00A95455"/>
    <w:rsid w:val="00A97A49"/>
    <w:rsid w:val="00AA1D46"/>
    <w:rsid w:val="00AA3087"/>
    <w:rsid w:val="00AA3CB4"/>
    <w:rsid w:val="00AA40ED"/>
    <w:rsid w:val="00AB4AA2"/>
    <w:rsid w:val="00AB6C7F"/>
    <w:rsid w:val="00AC776B"/>
    <w:rsid w:val="00AD1CA6"/>
    <w:rsid w:val="00AD776C"/>
    <w:rsid w:val="00AE22A4"/>
    <w:rsid w:val="00AE7719"/>
    <w:rsid w:val="00AE7C75"/>
    <w:rsid w:val="00AF0902"/>
    <w:rsid w:val="00AF0F99"/>
    <w:rsid w:val="00AF13CF"/>
    <w:rsid w:val="00AF14FC"/>
    <w:rsid w:val="00AF19DC"/>
    <w:rsid w:val="00AF2455"/>
    <w:rsid w:val="00AF2763"/>
    <w:rsid w:val="00AF47FE"/>
    <w:rsid w:val="00B005AF"/>
    <w:rsid w:val="00B03816"/>
    <w:rsid w:val="00B0387B"/>
    <w:rsid w:val="00B03BFA"/>
    <w:rsid w:val="00B05905"/>
    <w:rsid w:val="00B05D89"/>
    <w:rsid w:val="00B07BB2"/>
    <w:rsid w:val="00B11D8B"/>
    <w:rsid w:val="00B120F7"/>
    <w:rsid w:val="00B149AC"/>
    <w:rsid w:val="00B156E2"/>
    <w:rsid w:val="00B20114"/>
    <w:rsid w:val="00B22638"/>
    <w:rsid w:val="00B2294E"/>
    <w:rsid w:val="00B25561"/>
    <w:rsid w:val="00B26443"/>
    <w:rsid w:val="00B301A8"/>
    <w:rsid w:val="00B308AC"/>
    <w:rsid w:val="00B331A2"/>
    <w:rsid w:val="00B34B50"/>
    <w:rsid w:val="00B42E38"/>
    <w:rsid w:val="00B43E48"/>
    <w:rsid w:val="00B43EE6"/>
    <w:rsid w:val="00B47266"/>
    <w:rsid w:val="00B503C6"/>
    <w:rsid w:val="00B505FD"/>
    <w:rsid w:val="00B537BD"/>
    <w:rsid w:val="00B54B9D"/>
    <w:rsid w:val="00B56609"/>
    <w:rsid w:val="00B6137C"/>
    <w:rsid w:val="00B6297F"/>
    <w:rsid w:val="00B62ADA"/>
    <w:rsid w:val="00B641EB"/>
    <w:rsid w:val="00B6596E"/>
    <w:rsid w:val="00B70F88"/>
    <w:rsid w:val="00B71654"/>
    <w:rsid w:val="00B724E5"/>
    <w:rsid w:val="00B75550"/>
    <w:rsid w:val="00B8085D"/>
    <w:rsid w:val="00B90FED"/>
    <w:rsid w:val="00B93D1A"/>
    <w:rsid w:val="00B9415D"/>
    <w:rsid w:val="00B97C68"/>
    <w:rsid w:val="00BA1090"/>
    <w:rsid w:val="00BA6A6A"/>
    <w:rsid w:val="00BB0134"/>
    <w:rsid w:val="00BB0309"/>
    <w:rsid w:val="00BB0E54"/>
    <w:rsid w:val="00BB3DA7"/>
    <w:rsid w:val="00BB6512"/>
    <w:rsid w:val="00BB76B9"/>
    <w:rsid w:val="00BC2C6B"/>
    <w:rsid w:val="00BC34DF"/>
    <w:rsid w:val="00BC6497"/>
    <w:rsid w:val="00BD02D5"/>
    <w:rsid w:val="00BD33B1"/>
    <w:rsid w:val="00BD5721"/>
    <w:rsid w:val="00BE2DC5"/>
    <w:rsid w:val="00BF30EF"/>
    <w:rsid w:val="00BF7723"/>
    <w:rsid w:val="00C00845"/>
    <w:rsid w:val="00C05AB8"/>
    <w:rsid w:val="00C0661A"/>
    <w:rsid w:val="00C06D8D"/>
    <w:rsid w:val="00C21C34"/>
    <w:rsid w:val="00C24137"/>
    <w:rsid w:val="00C245AC"/>
    <w:rsid w:val="00C30907"/>
    <w:rsid w:val="00C3293C"/>
    <w:rsid w:val="00C41CB3"/>
    <w:rsid w:val="00C42D5C"/>
    <w:rsid w:val="00C448FE"/>
    <w:rsid w:val="00C44F30"/>
    <w:rsid w:val="00C47CF8"/>
    <w:rsid w:val="00C55451"/>
    <w:rsid w:val="00C55802"/>
    <w:rsid w:val="00C5617E"/>
    <w:rsid w:val="00C56B12"/>
    <w:rsid w:val="00C574AC"/>
    <w:rsid w:val="00C60807"/>
    <w:rsid w:val="00C67DC8"/>
    <w:rsid w:val="00C723E6"/>
    <w:rsid w:val="00C758AE"/>
    <w:rsid w:val="00C75BCF"/>
    <w:rsid w:val="00C830A8"/>
    <w:rsid w:val="00C83779"/>
    <w:rsid w:val="00C84D96"/>
    <w:rsid w:val="00C926DA"/>
    <w:rsid w:val="00C93C2D"/>
    <w:rsid w:val="00C962DB"/>
    <w:rsid w:val="00CA0ED3"/>
    <w:rsid w:val="00CA16BC"/>
    <w:rsid w:val="00CA2F86"/>
    <w:rsid w:val="00CA5B17"/>
    <w:rsid w:val="00CA7419"/>
    <w:rsid w:val="00CB0BDC"/>
    <w:rsid w:val="00CB2985"/>
    <w:rsid w:val="00CB34F4"/>
    <w:rsid w:val="00CB64DE"/>
    <w:rsid w:val="00CB7B60"/>
    <w:rsid w:val="00CB7EE4"/>
    <w:rsid w:val="00CC0C2C"/>
    <w:rsid w:val="00CC318F"/>
    <w:rsid w:val="00CC4BD7"/>
    <w:rsid w:val="00CC643A"/>
    <w:rsid w:val="00CC6570"/>
    <w:rsid w:val="00CC761A"/>
    <w:rsid w:val="00CC7C64"/>
    <w:rsid w:val="00CD1392"/>
    <w:rsid w:val="00CD6FBE"/>
    <w:rsid w:val="00CE0780"/>
    <w:rsid w:val="00CE1428"/>
    <w:rsid w:val="00CE16E2"/>
    <w:rsid w:val="00CE23D1"/>
    <w:rsid w:val="00CE26B0"/>
    <w:rsid w:val="00CE26E7"/>
    <w:rsid w:val="00CE3B5E"/>
    <w:rsid w:val="00CF11ED"/>
    <w:rsid w:val="00CF151D"/>
    <w:rsid w:val="00CF41FD"/>
    <w:rsid w:val="00CF5856"/>
    <w:rsid w:val="00CF5BBF"/>
    <w:rsid w:val="00CF7914"/>
    <w:rsid w:val="00D01EF2"/>
    <w:rsid w:val="00D05471"/>
    <w:rsid w:val="00D116D8"/>
    <w:rsid w:val="00D116F7"/>
    <w:rsid w:val="00D12044"/>
    <w:rsid w:val="00D130D1"/>
    <w:rsid w:val="00D14BCA"/>
    <w:rsid w:val="00D15801"/>
    <w:rsid w:val="00D15FAD"/>
    <w:rsid w:val="00D200C9"/>
    <w:rsid w:val="00D20382"/>
    <w:rsid w:val="00D216AD"/>
    <w:rsid w:val="00D242EB"/>
    <w:rsid w:val="00D27388"/>
    <w:rsid w:val="00D34EAA"/>
    <w:rsid w:val="00D35465"/>
    <w:rsid w:val="00D355F1"/>
    <w:rsid w:val="00D3677D"/>
    <w:rsid w:val="00D367EE"/>
    <w:rsid w:val="00D4129A"/>
    <w:rsid w:val="00D430C6"/>
    <w:rsid w:val="00D45C01"/>
    <w:rsid w:val="00D52670"/>
    <w:rsid w:val="00D60D49"/>
    <w:rsid w:val="00D61110"/>
    <w:rsid w:val="00D6422B"/>
    <w:rsid w:val="00D64342"/>
    <w:rsid w:val="00D64B91"/>
    <w:rsid w:val="00D66034"/>
    <w:rsid w:val="00D7318A"/>
    <w:rsid w:val="00D7377D"/>
    <w:rsid w:val="00D75A54"/>
    <w:rsid w:val="00D75E58"/>
    <w:rsid w:val="00D77285"/>
    <w:rsid w:val="00D81024"/>
    <w:rsid w:val="00D814FF"/>
    <w:rsid w:val="00D840C6"/>
    <w:rsid w:val="00D84FA8"/>
    <w:rsid w:val="00D9194F"/>
    <w:rsid w:val="00D96B76"/>
    <w:rsid w:val="00D97BD9"/>
    <w:rsid w:val="00DA182A"/>
    <w:rsid w:val="00DA7A57"/>
    <w:rsid w:val="00DA7F04"/>
    <w:rsid w:val="00DB07A7"/>
    <w:rsid w:val="00DB42E4"/>
    <w:rsid w:val="00DC06EF"/>
    <w:rsid w:val="00DC5DC7"/>
    <w:rsid w:val="00DD064A"/>
    <w:rsid w:val="00DD11EE"/>
    <w:rsid w:val="00DD1F1F"/>
    <w:rsid w:val="00DD65D5"/>
    <w:rsid w:val="00DD6614"/>
    <w:rsid w:val="00DD6C0D"/>
    <w:rsid w:val="00DD7C28"/>
    <w:rsid w:val="00DE6342"/>
    <w:rsid w:val="00DE6651"/>
    <w:rsid w:val="00DE74DE"/>
    <w:rsid w:val="00DF193B"/>
    <w:rsid w:val="00E0351A"/>
    <w:rsid w:val="00E04553"/>
    <w:rsid w:val="00E05DC7"/>
    <w:rsid w:val="00E1248E"/>
    <w:rsid w:val="00E12BE1"/>
    <w:rsid w:val="00E134D9"/>
    <w:rsid w:val="00E223C2"/>
    <w:rsid w:val="00E234F8"/>
    <w:rsid w:val="00E24234"/>
    <w:rsid w:val="00E322B5"/>
    <w:rsid w:val="00E328DC"/>
    <w:rsid w:val="00E354B2"/>
    <w:rsid w:val="00E35ADC"/>
    <w:rsid w:val="00E40118"/>
    <w:rsid w:val="00E402C9"/>
    <w:rsid w:val="00E44850"/>
    <w:rsid w:val="00E47C99"/>
    <w:rsid w:val="00E529E0"/>
    <w:rsid w:val="00E530F7"/>
    <w:rsid w:val="00E53348"/>
    <w:rsid w:val="00E539A2"/>
    <w:rsid w:val="00E55AF7"/>
    <w:rsid w:val="00E62384"/>
    <w:rsid w:val="00E6400C"/>
    <w:rsid w:val="00E642E3"/>
    <w:rsid w:val="00E65677"/>
    <w:rsid w:val="00E711DB"/>
    <w:rsid w:val="00E71F07"/>
    <w:rsid w:val="00E77459"/>
    <w:rsid w:val="00E827B1"/>
    <w:rsid w:val="00E8360F"/>
    <w:rsid w:val="00E87732"/>
    <w:rsid w:val="00E87DCA"/>
    <w:rsid w:val="00E919BB"/>
    <w:rsid w:val="00E91EBF"/>
    <w:rsid w:val="00E945BD"/>
    <w:rsid w:val="00E953A5"/>
    <w:rsid w:val="00E967D6"/>
    <w:rsid w:val="00E96EB0"/>
    <w:rsid w:val="00E97025"/>
    <w:rsid w:val="00EA0C77"/>
    <w:rsid w:val="00EA1C1C"/>
    <w:rsid w:val="00EA1F79"/>
    <w:rsid w:val="00EA265A"/>
    <w:rsid w:val="00EA410A"/>
    <w:rsid w:val="00EA4125"/>
    <w:rsid w:val="00EA6267"/>
    <w:rsid w:val="00EB23E7"/>
    <w:rsid w:val="00EB377C"/>
    <w:rsid w:val="00EC2797"/>
    <w:rsid w:val="00EC5923"/>
    <w:rsid w:val="00EC617D"/>
    <w:rsid w:val="00ED25F7"/>
    <w:rsid w:val="00ED4FFA"/>
    <w:rsid w:val="00ED76DF"/>
    <w:rsid w:val="00EE32F0"/>
    <w:rsid w:val="00EE3B72"/>
    <w:rsid w:val="00EE6307"/>
    <w:rsid w:val="00EE6D91"/>
    <w:rsid w:val="00EF1E8D"/>
    <w:rsid w:val="00EF22FF"/>
    <w:rsid w:val="00EF254E"/>
    <w:rsid w:val="00EF31EC"/>
    <w:rsid w:val="00EF3258"/>
    <w:rsid w:val="00EF3B45"/>
    <w:rsid w:val="00EF466B"/>
    <w:rsid w:val="00EF6D54"/>
    <w:rsid w:val="00EF720C"/>
    <w:rsid w:val="00F02948"/>
    <w:rsid w:val="00F03BE0"/>
    <w:rsid w:val="00F045F8"/>
    <w:rsid w:val="00F134F1"/>
    <w:rsid w:val="00F14B7E"/>
    <w:rsid w:val="00F16294"/>
    <w:rsid w:val="00F2066F"/>
    <w:rsid w:val="00F22CD2"/>
    <w:rsid w:val="00F26EB6"/>
    <w:rsid w:val="00F31481"/>
    <w:rsid w:val="00F31FA8"/>
    <w:rsid w:val="00F327BF"/>
    <w:rsid w:val="00F36D35"/>
    <w:rsid w:val="00F40A3B"/>
    <w:rsid w:val="00F419F3"/>
    <w:rsid w:val="00F479B5"/>
    <w:rsid w:val="00F50ED3"/>
    <w:rsid w:val="00F5165D"/>
    <w:rsid w:val="00F53859"/>
    <w:rsid w:val="00F55DB3"/>
    <w:rsid w:val="00F55FF4"/>
    <w:rsid w:val="00F57DA8"/>
    <w:rsid w:val="00F64FBC"/>
    <w:rsid w:val="00F6743C"/>
    <w:rsid w:val="00F72BD7"/>
    <w:rsid w:val="00F72C31"/>
    <w:rsid w:val="00F767A6"/>
    <w:rsid w:val="00F76ABB"/>
    <w:rsid w:val="00F80F6C"/>
    <w:rsid w:val="00F81E45"/>
    <w:rsid w:val="00F90136"/>
    <w:rsid w:val="00F914EB"/>
    <w:rsid w:val="00F959EA"/>
    <w:rsid w:val="00F9645C"/>
    <w:rsid w:val="00F96AF1"/>
    <w:rsid w:val="00FA016D"/>
    <w:rsid w:val="00FA2944"/>
    <w:rsid w:val="00FB3C93"/>
    <w:rsid w:val="00FB5079"/>
    <w:rsid w:val="00FB5230"/>
    <w:rsid w:val="00FB79E4"/>
    <w:rsid w:val="00FC3D55"/>
    <w:rsid w:val="00FC726E"/>
    <w:rsid w:val="00FD05F0"/>
    <w:rsid w:val="00FD0B38"/>
    <w:rsid w:val="00FD240D"/>
    <w:rsid w:val="00FE0F13"/>
    <w:rsid w:val="00FE761B"/>
    <w:rsid w:val="00FF0909"/>
    <w:rsid w:val="00FF1D83"/>
    <w:rsid w:val="00FF22F2"/>
    <w:rsid w:val="00FF313A"/>
    <w:rsid w:val="00FF3CAD"/>
    <w:rsid w:val="00FF64B7"/>
    <w:rsid w:val="0143404E"/>
    <w:rsid w:val="01D03534"/>
    <w:rsid w:val="03CD6332"/>
    <w:rsid w:val="03F60FF6"/>
    <w:rsid w:val="05A52F46"/>
    <w:rsid w:val="066B17D4"/>
    <w:rsid w:val="066E6203"/>
    <w:rsid w:val="08332EEA"/>
    <w:rsid w:val="09905A49"/>
    <w:rsid w:val="09E71A74"/>
    <w:rsid w:val="0ACC485F"/>
    <w:rsid w:val="0AF97CC1"/>
    <w:rsid w:val="0C4D4603"/>
    <w:rsid w:val="0C784A3C"/>
    <w:rsid w:val="0D352B8F"/>
    <w:rsid w:val="0F3D05CE"/>
    <w:rsid w:val="0F9B697D"/>
    <w:rsid w:val="112478D7"/>
    <w:rsid w:val="12535865"/>
    <w:rsid w:val="131D378B"/>
    <w:rsid w:val="138E4DA7"/>
    <w:rsid w:val="15E10344"/>
    <w:rsid w:val="17FD48E6"/>
    <w:rsid w:val="17FDCBAA"/>
    <w:rsid w:val="19575C3B"/>
    <w:rsid w:val="1B3A3A66"/>
    <w:rsid w:val="1C487C16"/>
    <w:rsid w:val="1D7E1E30"/>
    <w:rsid w:val="1DDBC251"/>
    <w:rsid w:val="1E17D896"/>
    <w:rsid w:val="1E40490A"/>
    <w:rsid w:val="1EE77EBB"/>
    <w:rsid w:val="1F46FDA1"/>
    <w:rsid w:val="1FCFFECC"/>
    <w:rsid w:val="20C4742E"/>
    <w:rsid w:val="21A81D2F"/>
    <w:rsid w:val="22BA5BB9"/>
    <w:rsid w:val="22F34C27"/>
    <w:rsid w:val="23F5677C"/>
    <w:rsid w:val="275A34C6"/>
    <w:rsid w:val="291F499E"/>
    <w:rsid w:val="296C128F"/>
    <w:rsid w:val="29BE8E81"/>
    <w:rsid w:val="2ABFECE0"/>
    <w:rsid w:val="2B357D84"/>
    <w:rsid w:val="2C9A4365"/>
    <w:rsid w:val="2C9F197B"/>
    <w:rsid w:val="2D391DD0"/>
    <w:rsid w:val="2DCF6290"/>
    <w:rsid w:val="2DF6EEF7"/>
    <w:rsid w:val="2DFEABC3"/>
    <w:rsid w:val="2EB3894D"/>
    <w:rsid w:val="2EF266DA"/>
    <w:rsid w:val="2EFE7D00"/>
    <w:rsid w:val="2F7F0945"/>
    <w:rsid w:val="2FB4573E"/>
    <w:rsid w:val="32FAF573"/>
    <w:rsid w:val="33C817B8"/>
    <w:rsid w:val="33CC3731"/>
    <w:rsid w:val="33EB0243"/>
    <w:rsid w:val="34FFD527"/>
    <w:rsid w:val="35CF4731"/>
    <w:rsid w:val="35DFBA74"/>
    <w:rsid w:val="36AD9AA0"/>
    <w:rsid w:val="37E7052B"/>
    <w:rsid w:val="37FF5B9D"/>
    <w:rsid w:val="37FFFF86"/>
    <w:rsid w:val="38072E43"/>
    <w:rsid w:val="3A3556CD"/>
    <w:rsid w:val="3A3A5061"/>
    <w:rsid w:val="3A742699"/>
    <w:rsid w:val="3AFB88BC"/>
    <w:rsid w:val="3AFF651C"/>
    <w:rsid w:val="3B1D6678"/>
    <w:rsid w:val="3B5595A0"/>
    <w:rsid w:val="3B770C94"/>
    <w:rsid w:val="3BE74767"/>
    <w:rsid w:val="3BFD7CD9"/>
    <w:rsid w:val="3BFF6FA8"/>
    <w:rsid w:val="3C0D06AF"/>
    <w:rsid w:val="3CAE5760"/>
    <w:rsid w:val="3DDF4EBA"/>
    <w:rsid w:val="3DEFD591"/>
    <w:rsid w:val="3DF7BDAA"/>
    <w:rsid w:val="3DFED0C9"/>
    <w:rsid w:val="3E3B1E90"/>
    <w:rsid w:val="3EEDA9DA"/>
    <w:rsid w:val="3F7D9388"/>
    <w:rsid w:val="3FBF1542"/>
    <w:rsid w:val="3FBF1E2B"/>
    <w:rsid w:val="3FDD1974"/>
    <w:rsid w:val="3FDF3116"/>
    <w:rsid w:val="3FDFFEB1"/>
    <w:rsid w:val="3FFC1430"/>
    <w:rsid w:val="3FFF6AC8"/>
    <w:rsid w:val="3FFFB451"/>
    <w:rsid w:val="424F58A5"/>
    <w:rsid w:val="425354B0"/>
    <w:rsid w:val="42595BC2"/>
    <w:rsid w:val="42FB30BE"/>
    <w:rsid w:val="43FF4B7D"/>
    <w:rsid w:val="4417621D"/>
    <w:rsid w:val="45CF20E1"/>
    <w:rsid w:val="476C6CC4"/>
    <w:rsid w:val="483C51B4"/>
    <w:rsid w:val="48ED6428"/>
    <w:rsid w:val="49720597"/>
    <w:rsid w:val="4ADF1B44"/>
    <w:rsid w:val="4BCF7F18"/>
    <w:rsid w:val="4BFD4772"/>
    <w:rsid w:val="4CF54DED"/>
    <w:rsid w:val="4D01600E"/>
    <w:rsid w:val="4DBC3CA6"/>
    <w:rsid w:val="4DEBD4EB"/>
    <w:rsid w:val="4ECFB50B"/>
    <w:rsid w:val="4F1DE7BD"/>
    <w:rsid w:val="4FFA0AAA"/>
    <w:rsid w:val="4FFFE182"/>
    <w:rsid w:val="50627E66"/>
    <w:rsid w:val="53B51901"/>
    <w:rsid w:val="555F132C"/>
    <w:rsid w:val="55EB4D0A"/>
    <w:rsid w:val="55F7A379"/>
    <w:rsid w:val="577F9D9C"/>
    <w:rsid w:val="57B98AC1"/>
    <w:rsid w:val="57FF6024"/>
    <w:rsid w:val="59DB7D96"/>
    <w:rsid w:val="5ADB5CE7"/>
    <w:rsid w:val="5AF9FECA"/>
    <w:rsid w:val="5B5E9071"/>
    <w:rsid w:val="5B5EF2A8"/>
    <w:rsid w:val="5B7BF8AD"/>
    <w:rsid w:val="5B7E2454"/>
    <w:rsid w:val="5BDF1BF4"/>
    <w:rsid w:val="5BF37F1F"/>
    <w:rsid w:val="5BFEEE29"/>
    <w:rsid w:val="5C6E125A"/>
    <w:rsid w:val="5D26561D"/>
    <w:rsid w:val="5DD32454"/>
    <w:rsid w:val="5DFBC20D"/>
    <w:rsid w:val="5EBD228E"/>
    <w:rsid w:val="5EDB41E5"/>
    <w:rsid w:val="5F6E9908"/>
    <w:rsid w:val="5FBF95BA"/>
    <w:rsid w:val="5FBFC313"/>
    <w:rsid w:val="5FD71E59"/>
    <w:rsid w:val="5FD9CDB6"/>
    <w:rsid w:val="5FDB8B2A"/>
    <w:rsid w:val="5FEFA511"/>
    <w:rsid w:val="5FEFFAE0"/>
    <w:rsid w:val="5FFFC7C0"/>
    <w:rsid w:val="5FFFE234"/>
    <w:rsid w:val="61167757"/>
    <w:rsid w:val="616F8E62"/>
    <w:rsid w:val="61FFA1DA"/>
    <w:rsid w:val="6311462B"/>
    <w:rsid w:val="647749B0"/>
    <w:rsid w:val="65C7999E"/>
    <w:rsid w:val="66465246"/>
    <w:rsid w:val="667E4ECF"/>
    <w:rsid w:val="66AE391C"/>
    <w:rsid w:val="66CCB0CD"/>
    <w:rsid w:val="66FE89CA"/>
    <w:rsid w:val="674D7A49"/>
    <w:rsid w:val="67BB4F95"/>
    <w:rsid w:val="67E573F2"/>
    <w:rsid w:val="68906041"/>
    <w:rsid w:val="68D0468F"/>
    <w:rsid w:val="69DCE7B7"/>
    <w:rsid w:val="6B4D7C31"/>
    <w:rsid w:val="6B9D5E26"/>
    <w:rsid w:val="6BF59981"/>
    <w:rsid w:val="6BF7DA87"/>
    <w:rsid w:val="6C0528A2"/>
    <w:rsid w:val="6C75E69F"/>
    <w:rsid w:val="6CFB7C09"/>
    <w:rsid w:val="6D78002E"/>
    <w:rsid w:val="6D7FB5BD"/>
    <w:rsid w:val="6D7FE5EE"/>
    <w:rsid w:val="6D9123FC"/>
    <w:rsid w:val="6DEA614C"/>
    <w:rsid w:val="6DF7CAAC"/>
    <w:rsid w:val="6DFBD4AA"/>
    <w:rsid w:val="6DFF5944"/>
    <w:rsid w:val="6EB90A9A"/>
    <w:rsid w:val="6EBBA9EC"/>
    <w:rsid w:val="6EEF55A3"/>
    <w:rsid w:val="6F1BD518"/>
    <w:rsid w:val="6F235519"/>
    <w:rsid w:val="6F68386E"/>
    <w:rsid w:val="6F7DFE86"/>
    <w:rsid w:val="6FBB75C1"/>
    <w:rsid w:val="6FC84312"/>
    <w:rsid w:val="6FC85D15"/>
    <w:rsid w:val="6FCF4B9E"/>
    <w:rsid w:val="6FE7D122"/>
    <w:rsid w:val="6FEEC953"/>
    <w:rsid w:val="6FF90AA2"/>
    <w:rsid w:val="6FFBBFFC"/>
    <w:rsid w:val="6FFD7B48"/>
    <w:rsid w:val="6FFF9C88"/>
    <w:rsid w:val="70BE6A6B"/>
    <w:rsid w:val="71BF2D5B"/>
    <w:rsid w:val="71EF1121"/>
    <w:rsid w:val="72737AEF"/>
    <w:rsid w:val="72DFA728"/>
    <w:rsid w:val="737BDFE7"/>
    <w:rsid w:val="741B4B3E"/>
    <w:rsid w:val="755FC6D0"/>
    <w:rsid w:val="756DED08"/>
    <w:rsid w:val="75A849FE"/>
    <w:rsid w:val="75DF3139"/>
    <w:rsid w:val="75FF09FD"/>
    <w:rsid w:val="763D812B"/>
    <w:rsid w:val="76DE403B"/>
    <w:rsid w:val="76F1CEBD"/>
    <w:rsid w:val="76F35F29"/>
    <w:rsid w:val="76F48943"/>
    <w:rsid w:val="76F701E2"/>
    <w:rsid w:val="773E082E"/>
    <w:rsid w:val="775AD921"/>
    <w:rsid w:val="777E01FA"/>
    <w:rsid w:val="77826587"/>
    <w:rsid w:val="77AA9D6D"/>
    <w:rsid w:val="77EE83F1"/>
    <w:rsid w:val="77FAB28D"/>
    <w:rsid w:val="78D45AD6"/>
    <w:rsid w:val="797ADE45"/>
    <w:rsid w:val="79DB4F76"/>
    <w:rsid w:val="79FB69F4"/>
    <w:rsid w:val="7A2F7F79"/>
    <w:rsid w:val="7A7C6425"/>
    <w:rsid w:val="7AEE25FF"/>
    <w:rsid w:val="7B554988"/>
    <w:rsid w:val="7B6FB4A9"/>
    <w:rsid w:val="7B71A2DC"/>
    <w:rsid w:val="7B7F5392"/>
    <w:rsid w:val="7B9FC723"/>
    <w:rsid w:val="7BBD5B70"/>
    <w:rsid w:val="7BDA3403"/>
    <w:rsid w:val="7BF75963"/>
    <w:rsid w:val="7BF7E4B9"/>
    <w:rsid w:val="7BFEE260"/>
    <w:rsid w:val="7BFEEACD"/>
    <w:rsid w:val="7BFF8A8B"/>
    <w:rsid w:val="7C610A3A"/>
    <w:rsid w:val="7CDB26A1"/>
    <w:rsid w:val="7CFFFEB3"/>
    <w:rsid w:val="7D7BCE09"/>
    <w:rsid w:val="7DB3E299"/>
    <w:rsid w:val="7DBF7F55"/>
    <w:rsid w:val="7DD7F8AE"/>
    <w:rsid w:val="7DDF09E1"/>
    <w:rsid w:val="7DE5F8E1"/>
    <w:rsid w:val="7DF5D311"/>
    <w:rsid w:val="7DF6513A"/>
    <w:rsid w:val="7DF7F6AF"/>
    <w:rsid w:val="7DFE2E80"/>
    <w:rsid w:val="7E30744A"/>
    <w:rsid w:val="7E35CBEE"/>
    <w:rsid w:val="7EBCFA88"/>
    <w:rsid w:val="7EE807D2"/>
    <w:rsid w:val="7EF76B02"/>
    <w:rsid w:val="7EFBB5D8"/>
    <w:rsid w:val="7EFD18A4"/>
    <w:rsid w:val="7EFFD7DE"/>
    <w:rsid w:val="7F1F31B0"/>
    <w:rsid w:val="7F3F9E64"/>
    <w:rsid w:val="7F598CA3"/>
    <w:rsid w:val="7F6F96B1"/>
    <w:rsid w:val="7F7BB095"/>
    <w:rsid w:val="7F7C6ADE"/>
    <w:rsid w:val="7F7D163C"/>
    <w:rsid w:val="7F7EF57A"/>
    <w:rsid w:val="7F9ED423"/>
    <w:rsid w:val="7FA36202"/>
    <w:rsid w:val="7FAE5D13"/>
    <w:rsid w:val="7FB4E42A"/>
    <w:rsid w:val="7FBB7AB8"/>
    <w:rsid w:val="7FBE22E2"/>
    <w:rsid w:val="7FBF0501"/>
    <w:rsid w:val="7FD7E77A"/>
    <w:rsid w:val="7FDA563A"/>
    <w:rsid w:val="7FDD8DA5"/>
    <w:rsid w:val="7FDE2F70"/>
    <w:rsid w:val="7FDE4EE7"/>
    <w:rsid w:val="7FDFBFAF"/>
    <w:rsid w:val="7FDFC7C7"/>
    <w:rsid w:val="7FF42263"/>
    <w:rsid w:val="7FF762E1"/>
    <w:rsid w:val="7FFA65AA"/>
    <w:rsid w:val="7FFB7DA8"/>
    <w:rsid w:val="7FFBF517"/>
    <w:rsid w:val="7FFCF9E2"/>
    <w:rsid w:val="7FFE3B43"/>
    <w:rsid w:val="7FFE775F"/>
    <w:rsid w:val="7FFF3FF4"/>
    <w:rsid w:val="7FFF5329"/>
    <w:rsid w:val="7FFF5F34"/>
    <w:rsid w:val="857F7046"/>
    <w:rsid w:val="87DE25FD"/>
    <w:rsid w:val="8BFB686A"/>
    <w:rsid w:val="8BFFC0F0"/>
    <w:rsid w:val="8DEFE12D"/>
    <w:rsid w:val="8EFFF2A5"/>
    <w:rsid w:val="8FED880E"/>
    <w:rsid w:val="96FF8C62"/>
    <w:rsid w:val="975BDAFF"/>
    <w:rsid w:val="97F6E599"/>
    <w:rsid w:val="97FE83E3"/>
    <w:rsid w:val="99F3BEB6"/>
    <w:rsid w:val="9B7DD103"/>
    <w:rsid w:val="9BE62AD0"/>
    <w:rsid w:val="9D3E2D1A"/>
    <w:rsid w:val="9D8F1CF3"/>
    <w:rsid w:val="9DFB6CEF"/>
    <w:rsid w:val="9EDDEA96"/>
    <w:rsid w:val="9EFB462A"/>
    <w:rsid w:val="9FAF8E91"/>
    <w:rsid w:val="A2F8D9E5"/>
    <w:rsid w:val="A3F4F540"/>
    <w:rsid w:val="A6878286"/>
    <w:rsid w:val="A73F3A25"/>
    <w:rsid w:val="A76A40CE"/>
    <w:rsid w:val="A77FF97D"/>
    <w:rsid w:val="AAB379D3"/>
    <w:rsid w:val="ADCCD746"/>
    <w:rsid w:val="AEE7B773"/>
    <w:rsid w:val="AFE9F29E"/>
    <w:rsid w:val="AFFEDB63"/>
    <w:rsid w:val="AFFF4B4D"/>
    <w:rsid w:val="B177258A"/>
    <w:rsid w:val="B5F8438E"/>
    <w:rsid w:val="B794A7DA"/>
    <w:rsid w:val="B7EBF711"/>
    <w:rsid w:val="B9B33EC1"/>
    <w:rsid w:val="B9DC57DD"/>
    <w:rsid w:val="BA3F3A8D"/>
    <w:rsid w:val="BA7AE264"/>
    <w:rsid w:val="BA7B3E39"/>
    <w:rsid w:val="BBFDA1CC"/>
    <w:rsid w:val="BDEE0A18"/>
    <w:rsid w:val="BE7D6FC7"/>
    <w:rsid w:val="BEDE3DE0"/>
    <w:rsid w:val="BEDFEA32"/>
    <w:rsid w:val="BEEE28A4"/>
    <w:rsid w:val="BF39C1E8"/>
    <w:rsid w:val="BF6D87EA"/>
    <w:rsid w:val="BF77B3AF"/>
    <w:rsid w:val="BF7D279B"/>
    <w:rsid w:val="BFDB83A0"/>
    <w:rsid w:val="BFDDC3F6"/>
    <w:rsid w:val="BFDF72A4"/>
    <w:rsid w:val="BFDF8CE0"/>
    <w:rsid w:val="BFED0252"/>
    <w:rsid w:val="BFF3CACA"/>
    <w:rsid w:val="BFFEFBB2"/>
    <w:rsid w:val="BFFF472F"/>
    <w:rsid w:val="C6CBBF9A"/>
    <w:rsid w:val="C73EC733"/>
    <w:rsid w:val="C789E8B5"/>
    <w:rsid w:val="CB95283A"/>
    <w:rsid w:val="CBFF8524"/>
    <w:rsid w:val="CCF958AF"/>
    <w:rsid w:val="CEBF9E89"/>
    <w:rsid w:val="CECFDA5E"/>
    <w:rsid w:val="CEDB0D0C"/>
    <w:rsid w:val="CF67E8A9"/>
    <w:rsid w:val="CFBE6433"/>
    <w:rsid w:val="CFEF9D85"/>
    <w:rsid w:val="CFFEC5AB"/>
    <w:rsid w:val="D3F7EB61"/>
    <w:rsid w:val="D3FC25DD"/>
    <w:rsid w:val="D6758981"/>
    <w:rsid w:val="D78777C5"/>
    <w:rsid w:val="D795FA89"/>
    <w:rsid w:val="D7BF4102"/>
    <w:rsid w:val="D7D785E2"/>
    <w:rsid w:val="D7F78674"/>
    <w:rsid w:val="D9FF5EC3"/>
    <w:rsid w:val="DBAFF450"/>
    <w:rsid w:val="DDCF9FEF"/>
    <w:rsid w:val="DE764AA4"/>
    <w:rsid w:val="DEEDC391"/>
    <w:rsid w:val="DEF74C53"/>
    <w:rsid w:val="DF66B190"/>
    <w:rsid w:val="DF7B39CF"/>
    <w:rsid w:val="DF7CA716"/>
    <w:rsid w:val="DF7F5898"/>
    <w:rsid w:val="DFBF204D"/>
    <w:rsid w:val="DFC9E263"/>
    <w:rsid w:val="DFE59485"/>
    <w:rsid w:val="DFF98D91"/>
    <w:rsid w:val="DFFE5B09"/>
    <w:rsid w:val="DFFF5C61"/>
    <w:rsid w:val="E33FAD42"/>
    <w:rsid w:val="E57EB871"/>
    <w:rsid w:val="E77E8D8D"/>
    <w:rsid w:val="E7CF2A76"/>
    <w:rsid w:val="EA695016"/>
    <w:rsid w:val="EB7B5B37"/>
    <w:rsid w:val="EB9B6A52"/>
    <w:rsid w:val="EBBF7C76"/>
    <w:rsid w:val="EBEFF7AD"/>
    <w:rsid w:val="ECF778AA"/>
    <w:rsid w:val="ECFEEE7D"/>
    <w:rsid w:val="EDCF0256"/>
    <w:rsid w:val="EDFF8B3F"/>
    <w:rsid w:val="EEBF765E"/>
    <w:rsid w:val="EECB26E9"/>
    <w:rsid w:val="EEEF80B8"/>
    <w:rsid w:val="EF5FDEDE"/>
    <w:rsid w:val="EF776CEC"/>
    <w:rsid w:val="EF7E8755"/>
    <w:rsid w:val="EFA91F68"/>
    <w:rsid w:val="EFBA9174"/>
    <w:rsid w:val="EFDF4D12"/>
    <w:rsid w:val="EFE52335"/>
    <w:rsid w:val="EFEB6558"/>
    <w:rsid w:val="EFF978EC"/>
    <w:rsid w:val="EFF9B59F"/>
    <w:rsid w:val="F0FFCF05"/>
    <w:rsid w:val="F19FBE26"/>
    <w:rsid w:val="F1E70E9C"/>
    <w:rsid w:val="F1E7F767"/>
    <w:rsid w:val="F35ACF23"/>
    <w:rsid w:val="F36F07D6"/>
    <w:rsid w:val="F3B4ABCA"/>
    <w:rsid w:val="F3FC681B"/>
    <w:rsid w:val="F3FEAF5D"/>
    <w:rsid w:val="F5779E6D"/>
    <w:rsid w:val="F5EFDCD6"/>
    <w:rsid w:val="F6AA2096"/>
    <w:rsid w:val="F6F76BB6"/>
    <w:rsid w:val="F71F4C6C"/>
    <w:rsid w:val="F737B1EE"/>
    <w:rsid w:val="F737DF74"/>
    <w:rsid w:val="F7756EB7"/>
    <w:rsid w:val="F77E9CB0"/>
    <w:rsid w:val="F7BEF3D0"/>
    <w:rsid w:val="F7FFC260"/>
    <w:rsid w:val="F96FD6C6"/>
    <w:rsid w:val="F9F70221"/>
    <w:rsid w:val="FA6BA63D"/>
    <w:rsid w:val="FA7FEDEA"/>
    <w:rsid w:val="FABE517D"/>
    <w:rsid w:val="FAE53F48"/>
    <w:rsid w:val="FAFDE458"/>
    <w:rsid w:val="FB7F01C9"/>
    <w:rsid w:val="FB7FD890"/>
    <w:rsid w:val="FBA4230E"/>
    <w:rsid w:val="FBA7F34E"/>
    <w:rsid w:val="FBCC768D"/>
    <w:rsid w:val="FBDBB562"/>
    <w:rsid w:val="FBF779D8"/>
    <w:rsid w:val="FBFAD659"/>
    <w:rsid w:val="FBFE1830"/>
    <w:rsid w:val="FC7F1183"/>
    <w:rsid w:val="FCE93D30"/>
    <w:rsid w:val="FCF6F6EE"/>
    <w:rsid w:val="FCFF38A4"/>
    <w:rsid w:val="FCFFB1E7"/>
    <w:rsid w:val="FD75CB9F"/>
    <w:rsid w:val="FDA7365C"/>
    <w:rsid w:val="FDBE30BE"/>
    <w:rsid w:val="FDD7270B"/>
    <w:rsid w:val="FDF77C24"/>
    <w:rsid w:val="FDFC517D"/>
    <w:rsid w:val="FDFCA329"/>
    <w:rsid w:val="FE1F03BA"/>
    <w:rsid w:val="FE77C9BE"/>
    <w:rsid w:val="FE7F30F1"/>
    <w:rsid w:val="FEAF529F"/>
    <w:rsid w:val="FEBD67E3"/>
    <w:rsid w:val="FEEB4D89"/>
    <w:rsid w:val="FEEFFEAF"/>
    <w:rsid w:val="FEFB8391"/>
    <w:rsid w:val="FEFC2F6F"/>
    <w:rsid w:val="FEFF1238"/>
    <w:rsid w:val="FEFF52B7"/>
    <w:rsid w:val="FEFF5B84"/>
    <w:rsid w:val="FEFFCDD9"/>
    <w:rsid w:val="FEFFFCAB"/>
    <w:rsid w:val="FF27063B"/>
    <w:rsid w:val="FF3E2E55"/>
    <w:rsid w:val="FF46F988"/>
    <w:rsid w:val="FF63ED5A"/>
    <w:rsid w:val="FF7F41DA"/>
    <w:rsid w:val="FF7FAE83"/>
    <w:rsid w:val="FFA6004B"/>
    <w:rsid w:val="FFA6265C"/>
    <w:rsid w:val="FFB63B1F"/>
    <w:rsid w:val="FFBD5635"/>
    <w:rsid w:val="FFC6C033"/>
    <w:rsid w:val="FFD4202F"/>
    <w:rsid w:val="FFE2D7D9"/>
    <w:rsid w:val="FFE5C138"/>
    <w:rsid w:val="FFEFBB36"/>
    <w:rsid w:val="FFFBE0DB"/>
    <w:rsid w:val="FFFDDEF9"/>
    <w:rsid w:val="FFFE3E99"/>
    <w:rsid w:val="FFFEEB50"/>
    <w:rsid w:val="FFFF34C7"/>
    <w:rsid w:val="FFFF52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微软雅黑" w:asciiTheme="minorHAnsi" w:hAnsiTheme="minorHAnsi" w:cstheme="minorBidi"/>
      <w:kern w:val="2"/>
      <w:sz w:val="21"/>
      <w:szCs w:val="22"/>
      <w:lang w:val="en-US" w:eastAsia="zh-CN" w:bidi="ar-SA"/>
    </w:rPr>
  </w:style>
  <w:style w:type="paragraph" w:styleId="2">
    <w:name w:val="heading 1"/>
    <w:next w:val="1"/>
    <w:link w:val="27"/>
    <w:qFormat/>
    <w:uiPriority w:val="9"/>
    <w:pPr>
      <w:keepNext/>
      <w:keepLines/>
      <w:spacing w:before="340" w:after="330" w:line="578" w:lineRule="auto"/>
      <w:outlineLvl w:val="0"/>
    </w:pPr>
    <w:rPr>
      <w:rFonts w:eastAsia="宋体" w:cs="Times New Roman" w:asciiTheme="minorHAnsi" w:hAnsiTheme="minorHAnsi"/>
      <w:b/>
      <w:bCs/>
      <w:kern w:val="44"/>
      <w:sz w:val="44"/>
      <w:szCs w:val="44"/>
      <w:lang w:val="en-US" w:eastAsia="zh-CN" w:bidi="ar-SA"/>
    </w:rPr>
  </w:style>
  <w:style w:type="paragraph" w:styleId="3">
    <w:name w:val="heading 2"/>
    <w:next w:val="1"/>
    <w:link w:val="28"/>
    <w:unhideWhenUsed/>
    <w:qFormat/>
    <w:uiPriority w:val="9"/>
    <w:pPr>
      <w:keepNext/>
      <w:keepLines/>
      <w:numPr>
        <w:ilvl w:val="0"/>
        <w:numId w:val="1"/>
      </w:numPr>
      <w:spacing w:before="260" w:after="260" w:line="416" w:lineRule="auto"/>
      <w:outlineLvl w:val="1"/>
    </w:pPr>
    <w:rPr>
      <w:rFonts w:asciiTheme="majorHAnsi" w:hAnsiTheme="majorHAnsi" w:eastAsiaTheme="majorEastAsia" w:cstheme="majorBidi"/>
      <w:b/>
      <w:bCs/>
      <w:sz w:val="32"/>
      <w:szCs w:val="32"/>
      <w:lang w:val="en-US" w:eastAsia="zh-CN" w:bidi="ar-SA"/>
    </w:rPr>
  </w:style>
  <w:style w:type="paragraph" w:styleId="4">
    <w:name w:val="heading 3"/>
    <w:next w:val="1"/>
    <w:link w:val="29"/>
    <w:unhideWhenUsed/>
    <w:qFormat/>
    <w:uiPriority w:val="9"/>
    <w:pPr>
      <w:keepNext/>
      <w:keepLines/>
      <w:numPr>
        <w:ilvl w:val="0"/>
        <w:numId w:val="2"/>
      </w:numPr>
      <w:spacing w:before="260" w:after="260" w:line="416" w:lineRule="auto"/>
      <w:outlineLvl w:val="2"/>
    </w:pPr>
    <w:rPr>
      <w:rFonts w:ascii="宋体" w:hAnsi="宋体" w:eastAsia="宋体" w:cstheme="majorHAnsi"/>
      <w:b/>
      <w:bCs/>
      <w:sz w:val="32"/>
      <w:szCs w:val="32"/>
      <w:lang w:val="en-US" w:eastAsia="zh-CN" w:bidi="ar-SA"/>
    </w:rPr>
  </w:style>
  <w:style w:type="paragraph" w:styleId="5">
    <w:name w:val="heading 4"/>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lang w:val="en-US" w:eastAsia="zh-CN" w:bidi="ar-SA"/>
    </w:rPr>
  </w:style>
  <w:style w:type="paragraph" w:styleId="6">
    <w:name w:val="heading 5"/>
    <w:next w:val="1"/>
    <w:semiHidden/>
    <w:unhideWhenUsed/>
    <w:qFormat/>
    <w:uiPriority w:val="9"/>
    <w:pPr>
      <w:keepNext/>
      <w:keepLines/>
      <w:spacing w:before="280" w:after="290" w:line="372" w:lineRule="auto"/>
      <w:outlineLvl w:val="4"/>
    </w:pPr>
    <w:rPr>
      <w:rFonts w:eastAsia="宋体" w:cs="Times New Roman" w:asciiTheme="minorHAnsi" w:hAnsiTheme="minorHAnsi"/>
      <w:b/>
      <w:sz w:val="28"/>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pPr>
      <w:keepNext/>
      <w:ind w:firstLine="361"/>
      <w:jc w:val="center"/>
    </w:pPr>
    <w:rPr>
      <w:rFonts w:eastAsia="宋体" w:asciiTheme="majorHAnsi" w:hAnsiTheme="majorHAnsi" w:cstheme="majorHAnsi"/>
      <w:b/>
      <w:bCs/>
      <w:sz w:val="18"/>
      <w:szCs w:val="18"/>
    </w:rPr>
  </w:style>
  <w:style w:type="paragraph" w:styleId="8">
    <w:name w:val="annotation text"/>
    <w:basedOn w:val="1"/>
    <w:link w:val="31"/>
    <w:unhideWhenUsed/>
    <w:qFormat/>
    <w:uiPriority w:val="99"/>
    <w:pPr>
      <w:jc w:val="left"/>
    </w:pPr>
  </w:style>
  <w:style w:type="paragraph" w:styleId="9">
    <w:name w:val="toc 3"/>
    <w:basedOn w:val="1"/>
    <w:next w:val="1"/>
    <w:unhideWhenUsed/>
    <w:qFormat/>
    <w:uiPriority w:val="39"/>
    <w:pPr>
      <w:tabs>
        <w:tab w:val="right" w:leader="dot" w:pos="8296"/>
      </w:tabs>
      <w:ind w:left="840" w:leftChars="400" w:firstLine="0" w:firstLineChars="0"/>
    </w:pPr>
    <w:rPr>
      <w:rFonts w:eastAsia="宋体"/>
      <w:sz w:val="18"/>
    </w:rPr>
  </w:style>
  <w:style w:type="paragraph" w:styleId="10">
    <w:name w:val="footer"/>
    <w:basedOn w:val="1"/>
    <w:link w:val="35"/>
    <w:unhideWhenUsed/>
    <w:qFormat/>
    <w:uiPriority w:val="99"/>
    <w:pPr>
      <w:tabs>
        <w:tab w:val="center" w:pos="4153"/>
        <w:tab w:val="right" w:pos="8306"/>
      </w:tabs>
      <w:snapToGrid w:val="0"/>
      <w:jc w:val="left"/>
    </w:pPr>
    <w:rPr>
      <w:sz w:val="18"/>
      <w:szCs w:val="18"/>
    </w:rPr>
  </w:style>
  <w:style w:type="paragraph" w:styleId="11">
    <w:name w:val="header"/>
    <w:basedOn w:val="1"/>
    <w:link w:val="34"/>
    <w:unhideWhenUsed/>
    <w:qFormat/>
    <w:uiPriority w:val="99"/>
    <w:pPr>
      <w:tabs>
        <w:tab w:val="center" w:pos="4153"/>
        <w:tab w:val="right" w:pos="8306"/>
      </w:tabs>
      <w:snapToGrid w:val="0"/>
      <w:jc w:val="center"/>
    </w:pPr>
    <w:rPr>
      <w:sz w:val="18"/>
      <w:szCs w:val="18"/>
    </w:rPr>
  </w:style>
  <w:style w:type="paragraph" w:styleId="12">
    <w:name w:val="toc 1"/>
    <w:basedOn w:val="1"/>
    <w:next w:val="1"/>
    <w:semiHidden/>
    <w:unhideWhenUsed/>
    <w:qFormat/>
    <w:uiPriority w:val="39"/>
    <w:pPr>
      <w:ind w:firstLine="0" w:firstLineChars="0"/>
    </w:pPr>
    <w:rPr>
      <w:rFonts w:eastAsia="宋体"/>
      <w:b/>
    </w:rPr>
  </w:style>
  <w:style w:type="paragraph" w:styleId="13">
    <w:name w:val="footnote text"/>
    <w:basedOn w:val="1"/>
    <w:link w:val="52"/>
    <w:semiHidden/>
    <w:unhideWhenUsed/>
    <w:qFormat/>
    <w:uiPriority w:val="99"/>
    <w:pPr>
      <w:snapToGrid w:val="0"/>
      <w:jc w:val="left"/>
    </w:pPr>
    <w:rPr>
      <w:sz w:val="18"/>
      <w:szCs w:val="18"/>
    </w:rPr>
  </w:style>
  <w:style w:type="paragraph" w:styleId="14">
    <w:name w:val="table of figures"/>
    <w:basedOn w:val="1"/>
    <w:next w:val="1"/>
    <w:unhideWhenUsed/>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firstLine="0" w:firstLineChars="0"/>
    </w:pPr>
    <w:rPr>
      <w:rFonts w:eastAsia="宋体"/>
      <w:b/>
    </w:rPr>
  </w:style>
  <w:style w:type="paragraph" w:styleId="16">
    <w:name w:val="Normal (Web)"/>
    <w:basedOn w:val="1"/>
    <w:semiHidden/>
    <w:unhideWhenUsed/>
    <w:qFormat/>
    <w:uiPriority w:val="99"/>
    <w:pPr>
      <w:spacing w:beforeAutospacing="1" w:afterAutospacing="1"/>
      <w:jc w:val="left"/>
    </w:pPr>
    <w:rPr>
      <w:rFonts w:cs="Times New Roman"/>
      <w:kern w:val="0"/>
      <w:sz w:val="24"/>
    </w:rPr>
  </w:style>
  <w:style w:type="paragraph" w:styleId="17">
    <w:name w:val="annotation subject"/>
    <w:basedOn w:val="8"/>
    <w:next w:val="8"/>
    <w:link w:val="32"/>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FollowedHyperlink"/>
    <w:basedOn w:val="20"/>
    <w:semiHidden/>
    <w:unhideWhenUsed/>
    <w:qFormat/>
    <w:uiPriority w:val="99"/>
    <w:rPr>
      <w:color w:val="954F72" w:themeColor="followedHyperlink"/>
      <w:u w:val="single"/>
      <w14:textFill>
        <w14:solidFill>
          <w14:schemeClr w14:val="folHlink"/>
        </w14:solidFill>
      </w14:textFill>
    </w:rPr>
  </w:style>
  <w:style w:type="character" w:styleId="23">
    <w:name w:val="Emphasis"/>
    <w:basedOn w:val="20"/>
    <w:qFormat/>
    <w:uiPriority w:val="20"/>
    <w:rPr>
      <w:i/>
    </w:rPr>
  </w:style>
  <w:style w:type="character" w:styleId="24">
    <w:name w:val="Hyperlink"/>
    <w:basedOn w:val="20"/>
    <w:unhideWhenUsed/>
    <w:qFormat/>
    <w:uiPriority w:val="99"/>
    <w:rPr>
      <w:color w:val="0563C1" w:themeColor="hyperlink"/>
      <w:u w:val="single"/>
      <w14:textFill>
        <w14:solidFill>
          <w14:schemeClr w14:val="hlink"/>
        </w14:solidFill>
      </w14:textFill>
    </w:rPr>
  </w:style>
  <w:style w:type="character" w:styleId="25">
    <w:name w:val="annotation reference"/>
    <w:basedOn w:val="20"/>
    <w:semiHidden/>
    <w:unhideWhenUsed/>
    <w:qFormat/>
    <w:uiPriority w:val="99"/>
    <w:rPr>
      <w:sz w:val="21"/>
      <w:szCs w:val="21"/>
    </w:rPr>
  </w:style>
  <w:style w:type="character" w:styleId="26">
    <w:name w:val="footnote reference"/>
    <w:basedOn w:val="20"/>
    <w:semiHidden/>
    <w:unhideWhenUsed/>
    <w:qFormat/>
    <w:uiPriority w:val="99"/>
    <w:rPr>
      <w:vertAlign w:val="superscript"/>
    </w:rPr>
  </w:style>
  <w:style w:type="character" w:customStyle="1" w:styleId="27">
    <w:name w:val="标题 1 字符"/>
    <w:basedOn w:val="20"/>
    <w:link w:val="2"/>
    <w:qFormat/>
    <w:uiPriority w:val="9"/>
    <w:rPr>
      <w:rFonts w:eastAsia="宋体" w:asciiTheme="minorHAnsi" w:hAnsiTheme="minorHAnsi"/>
      <w:b/>
      <w:bCs/>
      <w:kern w:val="44"/>
      <w:sz w:val="44"/>
      <w:szCs w:val="44"/>
    </w:rPr>
  </w:style>
  <w:style w:type="character" w:customStyle="1" w:styleId="28">
    <w:name w:val="标题 2 字符"/>
    <w:basedOn w:val="20"/>
    <w:link w:val="3"/>
    <w:qFormat/>
    <w:uiPriority w:val="9"/>
    <w:rPr>
      <w:rFonts w:asciiTheme="majorHAnsi" w:hAnsiTheme="majorHAnsi" w:eastAsiaTheme="majorEastAsia" w:cstheme="majorBidi"/>
      <w:b/>
      <w:bCs/>
      <w:sz w:val="32"/>
      <w:szCs w:val="32"/>
    </w:rPr>
  </w:style>
  <w:style w:type="character" w:customStyle="1" w:styleId="29">
    <w:name w:val="标题 3 字符"/>
    <w:basedOn w:val="20"/>
    <w:link w:val="4"/>
    <w:qFormat/>
    <w:uiPriority w:val="9"/>
    <w:rPr>
      <w:rFonts w:ascii="宋体" w:hAnsi="宋体" w:cstheme="majorHAnsi"/>
      <w:b/>
      <w:bCs/>
      <w:sz w:val="32"/>
      <w:szCs w:val="32"/>
    </w:rPr>
  </w:style>
  <w:style w:type="character" w:customStyle="1" w:styleId="30">
    <w:name w:val="标题 4 字符"/>
    <w:basedOn w:val="20"/>
    <w:link w:val="5"/>
    <w:qFormat/>
    <w:uiPriority w:val="9"/>
    <w:rPr>
      <w:rFonts w:asciiTheme="majorHAnsi" w:hAnsiTheme="majorHAnsi" w:eastAsiaTheme="majorEastAsia" w:cstheme="majorBidi"/>
      <w:b/>
      <w:bCs/>
      <w:sz w:val="28"/>
      <w:szCs w:val="28"/>
    </w:rPr>
  </w:style>
  <w:style w:type="character" w:customStyle="1" w:styleId="31">
    <w:name w:val="批注文字 字符"/>
    <w:basedOn w:val="20"/>
    <w:link w:val="8"/>
    <w:qFormat/>
    <w:uiPriority w:val="99"/>
  </w:style>
  <w:style w:type="character" w:customStyle="1" w:styleId="32">
    <w:name w:val="批注主题 字符"/>
    <w:basedOn w:val="31"/>
    <w:link w:val="17"/>
    <w:semiHidden/>
    <w:qFormat/>
    <w:uiPriority w:val="99"/>
    <w:rPr>
      <w:b/>
      <w:bCs/>
    </w:rPr>
  </w:style>
  <w:style w:type="paragraph" w:styleId="33">
    <w:name w:val="List Paragraph"/>
    <w:basedOn w:val="1"/>
    <w:qFormat/>
    <w:uiPriority w:val="34"/>
    <w:pPr>
      <w:jc w:val="left"/>
    </w:pPr>
    <w:rPr>
      <w:rFonts w:eastAsia="宋体"/>
      <w:sz w:val="24"/>
    </w:rPr>
  </w:style>
  <w:style w:type="character" w:customStyle="1" w:styleId="34">
    <w:name w:val="页眉 字符"/>
    <w:basedOn w:val="20"/>
    <w:link w:val="11"/>
    <w:qFormat/>
    <w:uiPriority w:val="99"/>
    <w:rPr>
      <w:sz w:val="18"/>
      <w:szCs w:val="18"/>
    </w:rPr>
  </w:style>
  <w:style w:type="character" w:customStyle="1" w:styleId="35">
    <w:name w:val="页脚 字符"/>
    <w:basedOn w:val="20"/>
    <w:link w:val="10"/>
    <w:qFormat/>
    <w:uiPriority w:val="99"/>
    <w:rPr>
      <w:sz w:val="18"/>
      <w:szCs w:val="18"/>
    </w:rPr>
  </w:style>
  <w:style w:type="character" w:customStyle="1" w:styleId="36">
    <w:name w:val="font11"/>
    <w:basedOn w:val="20"/>
    <w:qFormat/>
    <w:uiPriority w:val="0"/>
    <w:rPr>
      <w:rFonts w:hint="eastAsia" w:ascii="宋体" w:hAnsi="宋体" w:eastAsia="宋体" w:cs="宋体"/>
      <w:b/>
      <w:bCs/>
      <w:color w:val="000000"/>
      <w:sz w:val="20"/>
      <w:szCs w:val="20"/>
      <w:u w:val="none"/>
    </w:rPr>
  </w:style>
  <w:style w:type="character" w:customStyle="1" w:styleId="37">
    <w:name w:val="font01"/>
    <w:basedOn w:val="20"/>
    <w:qFormat/>
    <w:uiPriority w:val="0"/>
    <w:rPr>
      <w:rFonts w:hint="default" w:ascii="Arial" w:hAnsi="Arial" w:cs="Arial"/>
      <w:color w:val="000000"/>
      <w:sz w:val="20"/>
      <w:szCs w:val="20"/>
      <w:u w:val="none"/>
    </w:rPr>
  </w:style>
  <w:style w:type="character" w:customStyle="1" w:styleId="38">
    <w:name w:val="font21"/>
    <w:basedOn w:val="20"/>
    <w:qFormat/>
    <w:uiPriority w:val="0"/>
    <w:rPr>
      <w:rFonts w:hint="default" w:ascii="Times New Roman" w:hAnsi="Times New Roman" w:cs="Times New Roman"/>
      <w:color w:val="000000"/>
      <w:sz w:val="20"/>
      <w:szCs w:val="20"/>
      <w:u w:val="none"/>
    </w:rPr>
  </w:style>
  <w:style w:type="paragraph" w:customStyle="1" w:styleId="39">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0">
    <w:name w:val="font51"/>
    <w:basedOn w:val="20"/>
    <w:qFormat/>
    <w:uiPriority w:val="0"/>
    <w:rPr>
      <w:rFonts w:hint="eastAsia" w:ascii="宋体" w:hAnsi="宋体" w:eastAsia="宋体" w:cs="宋体"/>
      <w:b/>
      <w:bCs/>
      <w:color w:val="auto"/>
      <w:sz w:val="21"/>
      <w:szCs w:val="21"/>
      <w:u w:val="none"/>
    </w:rPr>
  </w:style>
  <w:style w:type="paragraph" w:customStyle="1" w:styleId="41">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2">
    <w:name w:val="修订2"/>
    <w:hidden/>
    <w:unhideWhenUsed/>
    <w:qFormat/>
    <w:uiPriority w:val="99"/>
    <w:rPr>
      <w:rFonts w:eastAsia="微软雅黑" w:asciiTheme="minorHAnsi" w:hAnsiTheme="minorHAnsi" w:cstheme="minorBidi"/>
      <w:kern w:val="2"/>
      <w:sz w:val="21"/>
      <w:szCs w:val="22"/>
      <w:lang w:val="en-US" w:eastAsia="zh-CN" w:bidi="ar-SA"/>
    </w:rPr>
  </w:style>
  <w:style w:type="paragraph" w:customStyle="1" w:styleId="43">
    <w:name w:val="表格x"/>
    <w:basedOn w:val="1"/>
    <w:qFormat/>
    <w:uiPriority w:val="0"/>
    <w:pPr>
      <w:widowControl/>
      <w:adjustRightInd w:val="0"/>
      <w:snapToGrid w:val="0"/>
      <w:ind w:firstLine="0" w:firstLineChars="0"/>
      <w:jc w:val="center"/>
      <w:textAlignment w:val="bottom"/>
    </w:pPr>
    <w:rPr>
      <w:rFonts w:ascii="Times New Roman" w:hAnsi="Times New Roman" w:eastAsia="宋体" w:cs="Times New Roman"/>
      <w:color w:val="000000"/>
      <w:kern w:val="0"/>
      <w:sz w:val="20"/>
      <w:szCs w:val="20"/>
    </w:rPr>
  </w:style>
  <w:style w:type="paragraph" w:customStyle="1" w:styleId="44">
    <w:name w:val="数据来源样式"/>
    <w:basedOn w:val="1"/>
    <w:link w:val="45"/>
    <w:qFormat/>
    <w:uiPriority w:val="0"/>
    <w:pPr>
      <w:ind w:firstLine="0" w:firstLineChars="0"/>
      <w:jc w:val="left"/>
    </w:pPr>
    <w:rPr>
      <w:rFonts w:eastAsia="宋体" w:asciiTheme="majorHAnsi" w:hAnsiTheme="majorHAnsi" w:cstheme="majorHAnsi"/>
      <w:sz w:val="18"/>
      <w:szCs w:val="18"/>
    </w:rPr>
  </w:style>
  <w:style w:type="character" w:customStyle="1" w:styleId="45">
    <w:name w:val="数据来源样式 字符"/>
    <w:basedOn w:val="20"/>
    <w:link w:val="44"/>
    <w:qFormat/>
    <w:uiPriority w:val="0"/>
    <w:rPr>
      <w:rFonts w:asciiTheme="majorHAnsi" w:hAnsiTheme="majorHAnsi" w:cstheme="majorHAnsi"/>
      <w:kern w:val="2"/>
      <w:sz w:val="18"/>
      <w:szCs w:val="18"/>
    </w:rPr>
  </w:style>
  <w:style w:type="character" w:customStyle="1" w:styleId="46">
    <w:name w:val="正文 Char"/>
    <w:qFormat/>
    <w:uiPriority w:val="0"/>
    <w:rPr>
      <w:rFonts w:eastAsia="微软雅黑" w:asciiTheme="minorHAnsi" w:hAnsiTheme="minorHAnsi" w:cstheme="minorBidi"/>
      <w:kern w:val="2"/>
      <w:sz w:val="21"/>
      <w:szCs w:val="22"/>
      <w:lang w:val="en-US" w:eastAsia="zh-CN" w:bidi="ar-SA"/>
    </w:rPr>
  </w:style>
  <w:style w:type="paragraph" w:customStyle="1" w:styleId="47">
    <w:name w:val="修订3"/>
    <w:hidden/>
    <w:unhideWhenUsed/>
    <w:qFormat/>
    <w:uiPriority w:val="99"/>
    <w:rPr>
      <w:rFonts w:eastAsia="微软雅黑" w:asciiTheme="minorHAnsi" w:hAnsiTheme="minorHAnsi" w:cstheme="minorBidi"/>
      <w:kern w:val="2"/>
      <w:sz w:val="21"/>
      <w:szCs w:val="22"/>
      <w:lang w:val="en-US" w:eastAsia="zh-CN" w:bidi="ar-SA"/>
    </w:rPr>
  </w:style>
  <w:style w:type="paragraph" w:customStyle="1" w:styleId="48">
    <w:name w:val="修订4"/>
    <w:hidden/>
    <w:unhideWhenUsed/>
    <w:qFormat/>
    <w:uiPriority w:val="99"/>
    <w:rPr>
      <w:rFonts w:eastAsia="微软雅黑" w:asciiTheme="minorHAnsi" w:hAnsiTheme="minorHAnsi" w:cstheme="minorBidi"/>
      <w:kern w:val="2"/>
      <w:sz w:val="21"/>
      <w:szCs w:val="22"/>
      <w:lang w:val="en-US" w:eastAsia="zh-CN" w:bidi="ar-SA"/>
    </w:rPr>
  </w:style>
  <w:style w:type="paragraph" w:customStyle="1" w:styleId="49">
    <w:name w:val="修订5"/>
    <w:hidden/>
    <w:unhideWhenUsed/>
    <w:qFormat/>
    <w:uiPriority w:val="99"/>
    <w:rPr>
      <w:rFonts w:eastAsia="微软雅黑" w:asciiTheme="minorHAnsi" w:hAnsiTheme="minorHAnsi" w:cstheme="minorBidi"/>
      <w:kern w:val="2"/>
      <w:sz w:val="21"/>
      <w:szCs w:val="22"/>
      <w:lang w:val="en-US" w:eastAsia="zh-CN" w:bidi="ar-SA"/>
    </w:rPr>
  </w:style>
  <w:style w:type="paragraph" w:customStyle="1" w:styleId="50">
    <w:name w:val="修订6"/>
    <w:hidden/>
    <w:unhideWhenUsed/>
    <w:qFormat/>
    <w:uiPriority w:val="99"/>
    <w:rPr>
      <w:rFonts w:eastAsia="微软雅黑" w:asciiTheme="minorHAnsi" w:hAnsiTheme="minorHAnsi" w:cstheme="minorBidi"/>
      <w:kern w:val="2"/>
      <w:sz w:val="21"/>
      <w:szCs w:val="22"/>
      <w:lang w:val="en-US" w:eastAsia="zh-CN" w:bidi="ar-SA"/>
    </w:rPr>
  </w:style>
  <w:style w:type="paragraph" w:customStyle="1" w:styleId="51">
    <w:name w:val="修订7"/>
    <w:hidden/>
    <w:unhideWhenUsed/>
    <w:qFormat/>
    <w:uiPriority w:val="99"/>
    <w:rPr>
      <w:rFonts w:eastAsia="微软雅黑" w:asciiTheme="minorHAnsi" w:hAnsiTheme="minorHAnsi" w:cstheme="minorBidi"/>
      <w:kern w:val="2"/>
      <w:sz w:val="21"/>
      <w:szCs w:val="22"/>
      <w:lang w:val="en-US" w:eastAsia="zh-CN" w:bidi="ar-SA"/>
    </w:rPr>
  </w:style>
  <w:style w:type="character" w:customStyle="1" w:styleId="52">
    <w:name w:val="脚注文本 字符"/>
    <w:basedOn w:val="20"/>
    <w:link w:val="13"/>
    <w:semiHidden/>
    <w:qFormat/>
    <w:uiPriority w:val="99"/>
    <w:rPr>
      <w:rFonts w:eastAsia="微软雅黑" w:asciiTheme="minorHAnsi" w:hAnsiTheme="minorHAnsi" w:cstheme="minorBidi"/>
      <w:kern w:val="2"/>
      <w:sz w:val="18"/>
      <w:szCs w:val="18"/>
    </w:rPr>
  </w:style>
  <w:style w:type="paragraph" w:customStyle="1" w:styleId="53">
    <w:name w:val="Revision"/>
    <w:hidden/>
    <w:unhideWhenUsed/>
    <w:qFormat/>
    <w:uiPriority w:val="99"/>
    <w:rPr>
      <w:rFonts w:eastAsia="微软雅黑"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Sheet1!$I$10</c:f>
              <c:strCache>
                <c:ptCount val="1"/>
                <c:pt idx="0">
                  <c:v>退市上市公司数量（家）
(不包含吸收合并)</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bg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Sheet1!$J$9:$P$9</c:f>
              <c:numCache>
                <c:formatCode>General</c:formatCode>
                <c:ptCount val="7"/>
                <c:pt idx="0">
                  <c:v>2017</c:v>
                </c:pt>
                <c:pt idx="1">
                  <c:v>2018</c:v>
                </c:pt>
                <c:pt idx="2">
                  <c:v>2019</c:v>
                </c:pt>
                <c:pt idx="3">
                  <c:v>2020</c:v>
                </c:pt>
                <c:pt idx="4">
                  <c:v>2021</c:v>
                </c:pt>
                <c:pt idx="5">
                  <c:v>2022</c:v>
                </c:pt>
                <c:pt idx="6">
                  <c:v>2023</c:v>
                </c:pt>
              </c:numCache>
            </c:numRef>
          </c:cat>
          <c:val>
            <c:numRef>
              <c:f>Sheet1!$J$10:$P$10</c:f>
              <c:numCache>
                <c:formatCode>General</c:formatCode>
                <c:ptCount val="7"/>
                <c:pt idx="0">
                  <c:v>2</c:v>
                </c:pt>
                <c:pt idx="1">
                  <c:v>4</c:v>
                </c:pt>
                <c:pt idx="2">
                  <c:v>9</c:v>
                </c:pt>
                <c:pt idx="3">
                  <c:v>16</c:v>
                </c:pt>
                <c:pt idx="4">
                  <c:v>17</c:v>
                </c:pt>
                <c:pt idx="5">
                  <c:v>42</c:v>
                </c:pt>
                <c:pt idx="6">
                  <c:v>16</c:v>
                </c:pt>
              </c:numCache>
            </c:numRef>
          </c:val>
        </c:ser>
        <c:ser>
          <c:idx val="1"/>
          <c:order val="1"/>
          <c:tx>
            <c:strRef>
              <c:f>Sheet1!$I$11</c:f>
              <c:strCache>
                <c:ptCount val="1"/>
                <c:pt idx="0">
                  <c:v>退市整理期上市公司数量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bg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Sheet1!$J$9:$P$9</c:f>
              <c:numCache>
                <c:formatCode>General</c:formatCode>
                <c:ptCount val="7"/>
                <c:pt idx="0">
                  <c:v>2017</c:v>
                </c:pt>
                <c:pt idx="1">
                  <c:v>2018</c:v>
                </c:pt>
                <c:pt idx="2">
                  <c:v>2019</c:v>
                </c:pt>
                <c:pt idx="3">
                  <c:v>2020</c:v>
                </c:pt>
                <c:pt idx="4">
                  <c:v>2021</c:v>
                </c:pt>
                <c:pt idx="5">
                  <c:v>2022</c:v>
                </c:pt>
                <c:pt idx="6">
                  <c:v>2023</c:v>
                </c:pt>
              </c:numCache>
            </c:numRef>
          </c:cat>
          <c:val>
            <c:numRef>
              <c:f>Sheet1!$J$11:$P$11</c:f>
              <c:numCache>
                <c:formatCode>General</c:formatCode>
                <c:ptCount val="7"/>
                <c:pt idx="6">
                  <c:v>16</c:v>
                </c:pt>
              </c:numCache>
            </c:numRef>
          </c:val>
        </c:ser>
        <c:dLbls>
          <c:showLegendKey val="0"/>
          <c:showVal val="1"/>
          <c:showCatName val="0"/>
          <c:showSerName val="0"/>
          <c:showPercent val="0"/>
          <c:showBubbleSize val="0"/>
        </c:dLbls>
        <c:gapWidth val="150"/>
        <c:overlap val="100"/>
        <c:axId val="1255850024"/>
        <c:axId val="1255844984"/>
      </c:barChart>
      <c:catAx>
        <c:axId val="1255850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55844984"/>
        <c:crosses val="autoZero"/>
        <c:auto val="1"/>
        <c:lblAlgn val="ctr"/>
        <c:lblOffset val="100"/>
        <c:noMultiLvlLbl val="0"/>
      </c:catAx>
      <c:valAx>
        <c:axId val="1255844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55850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CF4C7AFB-58AB-4199-A268-7D20EFC0809F}">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16588</Words>
  <Characters>23135</Characters>
  <Lines>190</Lines>
  <Paragraphs>53</Paragraphs>
  <TotalTime>2</TotalTime>
  <ScaleCrop>false</ScaleCrop>
  <LinksUpToDate>false</LinksUpToDate>
  <CharactersWithSpaces>23284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2023-10-23T08:04:00Z</dcterms:created>
  <dc:creator>邢宇奇</dc:creator>
  <cp:lastModifiedBy>Irene</cp:lastModifiedBy>
  <dcterms:modified xsi:type="dcterms:W3CDTF">2023-10-24T02:02:31Z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DBA4DADC584D47D991A730B3EC01D6F7_13</vt:lpwstr>
  </property>
</Properties>
</file>