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600" w:lineRule="exact"/>
        <w:outlineLvl w:val="0"/>
        <w:rPr>
          <w:rFonts w:ascii="黑体" w:hAnsi="黑体" w:eastAsia="黑体"/>
          <w:kern w:val="0"/>
          <w:sz w:val="32"/>
          <w:szCs w:val="32"/>
        </w:rPr>
      </w:pPr>
    </w:p>
    <w:p>
      <w:pPr>
        <w:widowControl/>
        <w:snapToGrid w:val="0"/>
        <w:spacing w:line="600" w:lineRule="exact"/>
        <w:outlineLvl w:val="0"/>
        <w:rPr>
          <w:rFonts w:ascii="黑体" w:hAnsi="黑体" w:eastAsia="黑体"/>
          <w:kern w:val="0"/>
          <w:sz w:val="32"/>
          <w:szCs w:val="32"/>
        </w:rPr>
      </w:pP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全国社会保障基金境内投资管理办法</w:t>
      </w: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w:t>
      </w:r>
      <w:r>
        <w:rPr>
          <w:rFonts w:hint="eastAsia" w:ascii="Times New Roman" w:hAnsi="Times New Roman" w:eastAsia="方正小标宋简体" w:cs="Times New Roman"/>
          <w:sz w:val="44"/>
          <w:szCs w:val="44"/>
        </w:rPr>
        <w:t>征求意见</w:t>
      </w:r>
      <w:r>
        <w:rPr>
          <w:rFonts w:ascii="Times New Roman" w:hAnsi="Times New Roman" w:eastAsia="方正小标宋简体" w:cs="Times New Roman"/>
          <w:sz w:val="44"/>
          <w:szCs w:val="44"/>
        </w:rPr>
        <w:t>稿）</w:t>
      </w:r>
    </w:p>
    <w:p>
      <w:pPr>
        <w:spacing w:before="156" w:beforeLines="50" w:after="156" w:afterLines="50"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第一章 总则</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黑体" w:cs="Times New Roman"/>
          <w:color w:val="000000"/>
          <w:sz w:val="32"/>
          <w:szCs w:val="28"/>
        </w:rPr>
        <w:t>第一条</w:t>
      </w:r>
      <w:r>
        <w:rPr>
          <w:rFonts w:ascii="Times New Roman" w:hAnsi="Times New Roman" w:eastAsia="仿宋_GB2312" w:cs="Times New Roman"/>
          <w:sz w:val="32"/>
          <w:szCs w:val="32"/>
        </w:rPr>
        <w:t xml:space="preserve"> 为规范全国社会保障基金境内投资运营行为，根据《中</w:t>
      </w:r>
      <w:r>
        <w:rPr>
          <w:rFonts w:ascii="Times New Roman" w:hAnsi="Times New Roman" w:eastAsia="仿宋_GB2312" w:cs="Times New Roman"/>
          <w:sz w:val="32"/>
          <w:szCs w:val="32"/>
          <w:highlight w:val="none"/>
        </w:rPr>
        <w:t>华人民共和国社会保险法》《全国社会保障基金条例》等法律法规，制定本办法。</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黑体" w:cs="Times New Roman"/>
          <w:color w:val="000000"/>
          <w:sz w:val="32"/>
          <w:szCs w:val="28"/>
          <w:highlight w:val="none"/>
        </w:rPr>
        <w:t>第二条</w:t>
      </w:r>
      <w:r>
        <w:rPr>
          <w:rFonts w:ascii="Times New Roman" w:hAnsi="Times New Roman" w:eastAsia="仿宋_GB2312" w:cs="Times New Roman"/>
          <w:sz w:val="32"/>
          <w:szCs w:val="32"/>
          <w:highlight w:val="none"/>
        </w:rPr>
        <w:t xml:space="preserve"> 本办法所称全国社会保障基金（以下简称全国社保基金）是指全国社会保障基金理事会（以下简称社保基金会）负责管理运营的国家社会保障</w:t>
      </w:r>
      <w:r>
        <w:rPr>
          <w:rFonts w:hint="eastAsia" w:ascii="Times New Roman" w:hAnsi="Times New Roman" w:eastAsia="仿宋_GB2312" w:cs="Times New Roman"/>
          <w:sz w:val="32"/>
          <w:szCs w:val="32"/>
          <w:highlight w:val="none"/>
        </w:rPr>
        <w:t>战略储备基金。</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第三条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全国社保基金的投资运营，应当</w:t>
      </w:r>
      <w:r>
        <w:rPr>
          <w:rFonts w:hint="eastAsia" w:ascii="Times New Roman" w:hAnsi="Times New Roman" w:eastAsia="仿宋_GB2312" w:cs="Times New Roman"/>
          <w:sz w:val="32"/>
          <w:szCs w:val="32"/>
          <w:highlight w:val="none"/>
          <w:lang w:eastAsia="zh-CN"/>
        </w:rPr>
        <w:t>坚持中国共产党的领导，</w:t>
      </w:r>
      <w:r>
        <w:rPr>
          <w:rFonts w:hint="eastAsia" w:ascii="Times New Roman" w:hAnsi="Times New Roman" w:eastAsia="仿宋_GB2312" w:cs="Times New Roman"/>
          <w:sz w:val="32"/>
          <w:szCs w:val="32"/>
          <w:highlight w:val="none"/>
        </w:rPr>
        <w:t>坚持安全性、收益性和长期性原则，在保证安全的前提下，实现保值增值。</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第四条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lang w:eastAsia="zh-CN"/>
        </w:rPr>
        <w:t>财政部、人力资源社会保障部</w:t>
      </w:r>
      <w:r>
        <w:rPr>
          <w:rFonts w:hint="eastAsia" w:ascii="Times New Roman" w:hAnsi="Times New Roman" w:eastAsia="仿宋_GB2312" w:cs="Times New Roman"/>
          <w:sz w:val="32"/>
          <w:szCs w:val="32"/>
          <w:highlight w:val="none"/>
        </w:rPr>
        <w:t>负责拟订全国社保基金管理运营的有关政策，对全国社保基金的投资运营情况进行监督。</w:t>
      </w:r>
    </w:p>
    <w:p>
      <w:pPr>
        <w:spacing w:line="60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
        </w:rPr>
        <w:t>国务院证券监督管理机构、国务院银行保险监督管理机构等</w:t>
      </w:r>
      <w:r>
        <w:rPr>
          <w:rFonts w:hint="eastAsia" w:ascii="Times New Roman" w:hAnsi="Times New Roman" w:eastAsia="仿宋_GB2312" w:cs="Times New Roman"/>
          <w:sz w:val="32"/>
          <w:szCs w:val="32"/>
          <w:highlight w:val="none"/>
          <w:lang w:val="en" w:eastAsia="zh-CN"/>
        </w:rPr>
        <w:t>金融监管机构</w:t>
      </w:r>
      <w:r>
        <w:rPr>
          <w:rFonts w:hint="eastAsia" w:ascii="Times New Roman" w:hAnsi="Times New Roman" w:eastAsia="仿宋_GB2312" w:cs="Times New Roman"/>
          <w:sz w:val="32"/>
          <w:szCs w:val="32"/>
          <w:highlight w:val="none"/>
          <w:lang w:val="en"/>
        </w:rPr>
        <w:t>按照各自的职权对全国社保基金投资管理人和托管人的经营活动进行监督。</w:t>
      </w:r>
    </w:p>
    <w:p>
      <w:pPr>
        <w:spacing w:before="156" w:beforeLines="50" w:after="156" w:afterLines="50" w:line="600" w:lineRule="exact"/>
        <w:jc w:val="center"/>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第二章 管理和投资运营</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第五条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社保基金会依照法律法规及本办法的规定，管理运营全国社保基金，按照投资运营机构的职能定位，承担基金安全和保值增值主体责任，在国务院批准的投资范围及其比例幅度内，自主进行投资决策，开展投资运营。</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第六条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社保基金会应当审慎、</w:t>
      </w:r>
      <w:r>
        <w:rPr>
          <w:rFonts w:hint="eastAsia" w:ascii="Times New Roman" w:hAnsi="Times New Roman" w:eastAsia="仿宋_GB2312" w:cs="Times New Roman"/>
          <w:sz w:val="32"/>
          <w:szCs w:val="32"/>
          <w:highlight w:val="none"/>
          <w:lang w:eastAsia="zh-CN"/>
        </w:rPr>
        <w:t>稳健</w:t>
      </w:r>
      <w:r>
        <w:rPr>
          <w:rFonts w:hint="eastAsia" w:ascii="Times New Roman" w:hAnsi="Times New Roman" w:eastAsia="仿宋_GB2312" w:cs="Times New Roman"/>
          <w:sz w:val="32"/>
          <w:szCs w:val="32"/>
          <w:highlight w:val="none"/>
        </w:rPr>
        <w:t>管理运营全国社保基金，科学制定投资运营相关制度，并</w:t>
      </w:r>
      <w:r>
        <w:rPr>
          <w:rFonts w:hint="eastAsia" w:ascii="Times New Roman" w:hAnsi="Times New Roman" w:eastAsia="仿宋_GB2312" w:cs="Times New Roman"/>
          <w:sz w:val="32"/>
          <w:szCs w:val="32"/>
          <w:highlight w:val="none"/>
          <w:lang w:eastAsia="zh-CN"/>
        </w:rPr>
        <w:t>报财政部和人力资源社会保障部</w:t>
      </w:r>
      <w:r>
        <w:rPr>
          <w:rFonts w:hint="eastAsia" w:ascii="Times New Roman" w:hAnsi="Times New Roman" w:eastAsia="仿宋_GB2312" w:cs="Times New Roman"/>
          <w:sz w:val="32"/>
          <w:szCs w:val="32"/>
          <w:highlight w:val="none"/>
        </w:rPr>
        <w:t>备案。</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第七条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社保基金会应当建立健全投资决策机制，优化投资决策流程，研究制定科学稳健的资产配置计划和投资策略，并组织实施。</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基金管理运营的重大方针和战略、基金</w:t>
      </w:r>
      <w:r>
        <w:rPr>
          <w:rFonts w:hint="eastAsia" w:ascii="Times New Roman" w:hAnsi="Times New Roman" w:eastAsia="仿宋_GB2312" w:cs="Times New Roman"/>
          <w:sz w:val="32"/>
          <w:szCs w:val="32"/>
          <w:highlight w:val="none"/>
          <w:lang w:eastAsia="zh-CN"/>
        </w:rPr>
        <w:t>战略</w:t>
      </w:r>
      <w:r>
        <w:rPr>
          <w:rFonts w:hint="eastAsia" w:ascii="Times New Roman" w:hAnsi="Times New Roman" w:eastAsia="仿宋_GB2312" w:cs="Times New Roman"/>
          <w:sz w:val="32"/>
          <w:szCs w:val="32"/>
          <w:highlight w:val="none"/>
        </w:rPr>
        <w:t>资产配置计划、年度资产配置计划等重大事项提交理事大会审定，并报</w:t>
      </w:r>
      <w:r>
        <w:rPr>
          <w:rFonts w:hint="eastAsia" w:ascii="Times New Roman" w:hAnsi="Times New Roman" w:eastAsia="仿宋_GB2312" w:cs="Times New Roman"/>
          <w:sz w:val="32"/>
          <w:szCs w:val="32"/>
          <w:highlight w:val="none"/>
          <w:lang w:eastAsia="zh-CN"/>
        </w:rPr>
        <w:t>财政部、人力资源社会保障部</w:t>
      </w:r>
      <w:r>
        <w:rPr>
          <w:rFonts w:hint="eastAsia" w:ascii="Times New Roman" w:hAnsi="Times New Roman" w:eastAsia="仿宋_GB2312" w:cs="Times New Roman"/>
          <w:sz w:val="32"/>
          <w:szCs w:val="32"/>
          <w:highlight w:val="none"/>
        </w:rPr>
        <w:t>备案。</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第八条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社保基金会应当建立健全风险管理体系和内部控制体系，将风险管理贯穿于投资运营的全过程，风险管理和内部控制办法应当报</w:t>
      </w:r>
      <w:r>
        <w:rPr>
          <w:rFonts w:hint="eastAsia" w:ascii="Times New Roman" w:hAnsi="Times New Roman" w:eastAsia="仿宋_GB2312" w:cs="Times New Roman"/>
          <w:sz w:val="32"/>
          <w:szCs w:val="32"/>
          <w:highlight w:val="none"/>
          <w:lang w:eastAsia="zh-CN"/>
        </w:rPr>
        <w:t>财政部、人力资源社会保障部</w:t>
      </w:r>
      <w:r>
        <w:rPr>
          <w:rFonts w:hint="eastAsia" w:ascii="Times New Roman" w:hAnsi="Times New Roman" w:eastAsia="仿宋_GB2312" w:cs="Times New Roman"/>
          <w:sz w:val="32"/>
          <w:szCs w:val="32"/>
          <w:highlight w:val="none"/>
        </w:rPr>
        <w:t>备案。</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第九条</w:t>
      </w:r>
      <w:r>
        <w:rPr>
          <w:rFonts w:ascii="Times New Roman" w:hAnsi="Times New Roman" w:eastAsia="黑体" w:cs="Times New Roman"/>
          <w:color w:val="000000"/>
          <w:sz w:val="32"/>
          <w:szCs w:val="28"/>
          <w:highlight w:val="none"/>
        </w:rPr>
        <w:t xml:space="preserve"> </w:t>
      </w:r>
      <w:r>
        <w:rPr>
          <w:rFonts w:hint="eastAsia" w:ascii="Times New Roman" w:hAnsi="Times New Roman" w:eastAsia="仿宋_GB2312" w:cs="Times New Roman"/>
          <w:sz w:val="32"/>
          <w:szCs w:val="32"/>
          <w:highlight w:val="none"/>
        </w:rPr>
        <w:t>社保基金会可采取直接投资、委托投资或者以国务院批准的其他方式开展投资运营。</w:t>
      </w:r>
    </w:p>
    <w:p>
      <w:pPr>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第十条</w:t>
      </w:r>
      <w:r>
        <w:rPr>
          <w:rFonts w:hint="eastAsia" w:ascii="Times New Roman" w:hAnsi="Times New Roman" w:eastAsia="仿宋_GB2312" w:cs="Times New Roman"/>
          <w:sz w:val="32"/>
          <w:szCs w:val="32"/>
          <w:highlight w:val="none"/>
        </w:rPr>
        <w:t xml:space="preserve"> 社保基金会直接投资运营全国社保基金的，应当强化研究论证、投资决策、投后管理和投资退出的全过程管理。建立健全项目投资</w:t>
      </w:r>
      <w:bookmarkStart w:id="0" w:name="_GoBack"/>
      <w:bookmarkEnd w:id="0"/>
      <w:r>
        <w:rPr>
          <w:rFonts w:hint="eastAsia" w:ascii="Times New Roman" w:hAnsi="Times New Roman" w:eastAsia="仿宋_GB2312" w:cs="Times New Roman"/>
          <w:sz w:val="32"/>
          <w:szCs w:val="32"/>
          <w:highlight w:val="none"/>
        </w:rPr>
        <w:t>操作流程，完善项目投资风险防控机制和绩效评价考核体系。</w:t>
      </w:r>
    </w:p>
    <w:p>
      <w:pPr>
        <w:spacing w:line="600" w:lineRule="exact"/>
        <w:ind w:firstLine="640" w:firstLineChars="200"/>
        <w:rPr>
          <w:rFonts w:hint="eastAsia" w:ascii="Times New Roman" w:hAnsi="Times New Roman" w:eastAsia="仿宋_GB2312" w:cs="Times New Roman"/>
          <w:sz w:val="32"/>
          <w:szCs w:val="32"/>
          <w:highlight w:val="none"/>
        </w:rPr>
      </w:pPr>
      <w:r>
        <w:rPr>
          <w:rFonts w:hint="eastAsia" w:ascii="仿宋_GB2312" w:eastAsia="仿宋_GB2312"/>
          <w:sz w:val="32"/>
          <w:szCs w:val="32"/>
        </w:rPr>
        <w:t>社保基金会开展直接股权投资和私募股权基金投资，要坚持安全至上、优中选优原则，审慎选择投资项目和股权基金管理人，科学论证投资价值，全面研判防范风险，严格执行投资决策委员会审议和内部控制等相关制度，确保基金安全和保值增值。</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第十一条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社保基金会采取委托方式投资运营全国社保基金的，应</w:t>
      </w:r>
      <w:r>
        <w:rPr>
          <w:rFonts w:hint="eastAsia" w:ascii="Times New Roman" w:hAnsi="Times New Roman" w:eastAsia="仿宋_GB2312" w:cs="Times New Roman"/>
          <w:sz w:val="32"/>
          <w:szCs w:val="32"/>
          <w:highlight w:val="none"/>
          <w:lang w:eastAsia="zh-CN"/>
        </w:rPr>
        <w:t>当</w:t>
      </w:r>
      <w:r>
        <w:rPr>
          <w:rFonts w:hint="eastAsia" w:ascii="Times New Roman" w:hAnsi="Times New Roman" w:eastAsia="仿宋_GB2312" w:cs="Times New Roman"/>
          <w:sz w:val="32"/>
          <w:szCs w:val="32"/>
          <w:highlight w:val="none"/>
        </w:rPr>
        <w:t>健全和完善委托投资管理机制和办法，建立有效的全国社保基金投资管理人（以下简称投资管理人）、全国社保基金托管人（以下简称托管人）选聘、监督评价</w:t>
      </w:r>
      <w:r>
        <w:rPr>
          <w:rFonts w:hint="eastAsia" w:ascii="Times New Roman" w:hAnsi="Times New Roman" w:eastAsia="仿宋_GB2312" w:cs="Times New Roman"/>
          <w:sz w:val="32"/>
          <w:szCs w:val="32"/>
          <w:highlight w:val="none"/>
          <w:lang w:eastAsia="zh-CN"/>
        </w:rPr>
        <w:t>、更换退任</w:t>
      </w:r>
      <w:r>
        <w:rPr>
          <w:rFonts w:hint="eastAsia" w:ascii="Times New Roman" w:hAnsi="Times New Roman" w:eastAsia="仿宋_GB2312" w:cs="Times New Roman"/>
          <w:sz w:val="32"/>
          <w:szCs w:val="32"/>
          <w:highlight w:val="none"/>
        </w:rPr>
        <w:t>体系。</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社保基金会应</w:t>
      </w:r>
      <w:r>
        <w:rPr>
          <w:rFonts w:hint="eastAsia" w:ascii="Times New Roman" w:hAnsi="Times New Roman" w:eastAsia="仿宋_GB2312" w:cs="Times New Roman"/>
          <w:sz w:val="32"/>
          <w:szCs w:val="32"/>
          <w:highlight w:val="none"/>
          <w:lang w:eastAsia="zh-CN"/>
        </w:rPr>
        <w:t>当</w:t>
      </w:r>
      <w:r>
        <w:rPr>
          <w:rFonts w:hint="eastAsia" w:ascii="Times New Roman" w:hAnsi="Times New Roman" w:eastAsia="仿宋_GB2312" w:cs="Times New Roman"/>
          <w:sz w:val="32"/>
          <w:szCs w:val="32"/>
          <w:highlight w:val="none"/>
        </w:rPr>
        <w:t>健全和完善对委托资产组合风险有效识别、衡量、评估、监测和应对机制及相应的信息管理系统。</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社保基金会应当与投资管理人、托管人签订合同，约定双方权利义务，并报</w:t>
      </w:r>
      <w:r>
        <w:rPr>
          <w:rFonts w:hint="eastAsia" w:ascii="Times New Roman" w:hAnsi="Times New Roman" w:eastAsia="仿宋_GB2312" w:cs="Times New Roman"/>
          <w:sz w:val="32"/>
          <w:szCs w:val="32"/>
          <w:highlight w:val="none"/>
          <w:lang w:eastAsia="zh-CN"/>
        </w:rPr>
        <w:t>财政部、人力资源社会保障部和金融监管机构</w:t>
      </w:r>
      <w:r>
        <w:rPr>
          <w:rFonts w:hint="eastAsia" w:ascii="Times New Roman" w:hAnsi="Times New Roman" w:eastAsia="仿宋_GB2312" w:cs="Times New Roman"/>
          <w:sz w:val="32"/>
          <w:szCs w:val="32"/>
          <w:highlight w:val="none"/>
        </w:rPr>
        <w:t>备案。</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第十二条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投资管理人与托管人须在人事、财务和资产上相互独立，其高级管理人员不得在对方兼任任何职务。</w:t>
      </w:r>
    </w:p>
    <w:p>
      <w:pPr>
        <w:spacing w:before="156" w:beforeLines="50" w:after="156" w:afterLines="50" w:line="600" w:lineRule="exact"/>
        <w:jc w:val="center"/>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第三章</w:t>
      </w:r>
      <w:r>
        <w:rPr>
          <w:rFonts w:ascii="Times New Roman" w:hAnsi="Times New Roman" w:eastAsia="黑体" w:cs="Times New Roman"/>
          <w:sz w:val="32"/>
          <w:szCs w:val="32"/>
          <w:highlight w:val="none"/>
        </w:rPr>
        <w:t xml:space="preserve"> </w:t>
      </w:r>
      <w:r>
        <w:rPr>
          <w:rFonts w:hint="eastAsia" w:ascii="Times New Roman" w:hAnsi="Times New Roman" w:eastAsia="黑体" w:cs="Times New Roman"/>
          <w:sz w:val="32"/>
          <w:szCs w:val="32"/>
          <w:highlight w:val="none"/>
        </w:rPr>
        <w:t>投资范围和比例</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第十三条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全国社保基金可以投资于以下</w:t>
      </w:r>
      <w:r>
        <w:rPr>
          <w:rFonts w:hint="eastAsia" w:ascii="Times New Roman" w:hAnsi="Times New Roman" w:eastAsia="仿宋_GB2312" w:cs="Times New Roman"/>
          <w:sz w:val="32"/>
          <w:szCs w:val="32"/>
          <w:highlight w:val="none"/>
          <w:lang w:eastAsia="zh-CN"/>
        </w:rPr>
        <w:t>境内</w:t>
      </w:r>
      <w:r>
        <w:rPr>
          <w:rFonts w:hint="eastAsia" w:ascii="Times New Roman" w:hAnsi="Times New Roman" w:eastAsia="仿宋_GB2312" w:cs="Times New Roman"/>
          <w:sz w:val="32"/>
          <w:szCs w:val="32"/>
          <w:highlight w:val="none"/>
        </w:rPr>
        <w:t>产品和工具：</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（一）银行存款</w:t>
      </w:r>
      <w:r>
        <w:rPr>
          <w:rFonts w:hint="eastAsia" w:ascii="Times New Roman" w:hAnsi="Times New Roman" w:eastAsia="仿宋_GB2312" w:cs="Times New Roman"/>
          <w:sz w:val="32"/>
          <w:szCs w:val="32"/>
          <w:highlight w:val="none"/>
          <w:lang w:eastAsia="zh-CN"/>
        </w:rPr>
        <w:t>、同业</w:t>
      </w:r>
      <w:r>
        <w:rPr>
          <w:rFonts w:hint="eastAsia" w:ascii="Times New Roman" w:hAnsi="Times New Roman" w:eastAsia="仿宋_GB2312" w:cs="Times New Roman"/>
          <w:sz w:val="32"/>
          <w:szCs w:val="32"/>
          <w:highlight w:val="none"/>
        </w:rPr>
        <w:t>存单；</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（二）国债，政策性、开发性</w:t>
      </w:r>
      <w:r>
        <w:rPr>
          <w:rFonts w:hint="eastAsia" w:ascii="Times New Roman" w:hAnsi="Times New Roman" w:eastAsia="仿宋_GB2312" w:cs="Times New Roman"/>
          <w:sz w:val="32"/>
          <w:szCs w:val="32"/>
          <w:highlight w:val="none"/>
          <w:lang w:eastAsia="zh-CN"/>
        </w:rPr>
        <w:t>银行债券</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sz w:val="32"/>
          <w:szCs w:val="32"/>
          <w:highlight w:val="none"/>
        </w:rPr>
        <w:t>地方政府债券</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中国国家铁路集团有限公司发行的铁路债券</w:t>
      </w:r>
      <w:r>
        <w:rPr>
          <w:rFonts w:hint="eastAsia" w:ascii="Times New Roman" w:hAnsi="Times New Roman" w:eastAsia="仿宋_GB2312" w:cs="Times New Roman"/>
          <w:sz w:val="32"/>
          <w:szCs w:val="32"/>
          <w:highlight w:val="none"/>
          <w:lang w:eastAsia="zh-CN"/>
        </w:rPr>
        <w:t>、汇金债</w:t>
      </w:r>
      <w:r>
        <w:rPr>
          <w:rFonts w:hint="eastAsia" w:ascii="Times New Roman" w:hAnsi="Times New Roman" w:eastAsia="仿宋_GB2312" w:cs="Times New Roman"/>
          <w:sz w:val="32"/>
          <w:szCs w:val="32"/>
          <w:highlight w:val="none"/>
        </w:rPr>
        <w:t>；</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（三）信用等级在投资级以上的企业（公司）债、金融债、</w:t>
      </w:r>
      <w:r>
        <w:rPr>
          <w:rFonts w:hint="eastAsia" w:ascii="Times New Roman" w:hAnsi="Times New Roman" w:eastAsia="仿宋_GB2312" w:cs="Times New Roman"/>
          <w:sz w:val="32"/>
          <w:szCs w:val="32"/>
          <w:highlight w:val="none"/>
          <w:lang w:eastAsia="zh-CN"/>
        </w:rPr>
        <w:t>非金融企业</w:t>
      </w:r>
      <w:r>
        <w:rPr>
          <w:rFonts w:hint="eastAsia" w:ascii="Times New Roman" w:hAnsi="Times New Roman" w:eastAsia="仿宋_GB2312" w:cs="Times New Roman"/>
          <w:sz w:val="32"/>
          <w:szCs w:val="32"/>
          <w:highlight w:val="none"/>
        </w:rPr>
        <w:t>债务融资工具</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债券回购；</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（四）股票</w:t>
      </w:r>
      <w:r>
        <w:rPr>
          <w:rFonts w:hint="eastAsia" w:ascii="Times New Roman" w:hAnsi="Times New Roman" w:eastAsia="仿宋_GB2312" w:cs="Times New Roman"/>
          <w:sz w:val="32"/>
          <w:szCs w:val="32"/>
          <w:highlight w:val="none"/>
          <w:lang w:eastAsia="zh-CN"/>
        </w:rPr>
        <w:t>（含</w:t>
      </w:r>
      <w:r>
        <w:rPr>
          <w:rFonts w:hint="eastAsia" w:ascii="Times New Roman" w:hAnsi="Times New Roman" w:eastAsia="仿宋_GB2312" w:cs="Times New Roman"/>
          <w:sz w:val="32"/>
          <w:szCs w:val="32"/>
          <w:highlight w:val="none"/>
        </w:rPr>
        <w:t>中国存托凭证</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（五）</w:t>
      </w:r>
      <w:r>
        <w:rPr>
          <w:rFonts w:hint="eastAsia" w:ascii="Times New Roman" w:hAnsi="Times New Roman" w:eastAsia="仿宋_GB2312" w:cs="Times New Roman"/>
          <w:sz w:val="32"/>
          <w:szCs w:val="32"/>
          <w:highlight w:val="none"/>
          <w:lang w:eastAsia="zh-CN"/>
        </w:rPr>
        <w:t>符合条件的</w:t>
      </w:r>
      <w:r>
        <w:rPr>
          <w:rFonts w:hint="eastAsia" w:ascii="Times New Roman" w:hAnsi="Times New Roman" w:eastAsia="仿宋_GB2312" w:cs="Times New Roman"/>
          <w:sz w:val="32"/>
          <w:szCs w:val="32"/>
          <w:highlight w:val="none"/>
        </w:rPr>
        <w:t>直接股权投资</w:t>
      </w:r>
      <w:r>
        <w:rPr>
          <w:rFonts w:hint="eastAsia" w:ascii="Times New Roman" w:hAnsi="Times New Roman" w:eastAsia="仿宋_GB2312" w:cs="Times New Roman"/>
          <w:sz w:val="32"/>
          <w:szCs w:val="32"/>
          <w:highlight w:val="none"/>
          <w:lang w:eastAsia="zh-CN"/>
        </w:rPr>
        <w:t>（含中央企业及其子公司，以及地方具有核心竞争力的行业龙头企业包括优质民营企业）</w:t>
      </w:r>
      <w:r>
        <w:rPr>
          <w:rFonts w:hint="eastAsia" w:ascii="Times New Roman" w:hAnsi="Times New Roman" w:eastAsia="仿宋_GB2312" w:cs="Times New Roman"/>
          <w:sz w:val="32"/>
          <w:szCs w:val="32"/>
          <w:highlight w:val="none"/>
        </w:rPr>
        <w:t>；</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（六）经国务院或其授权机构批准的产业基金和在国务院证券监督管理机构备案的股权投资基金（含创业投资基金）；</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（七）优先股（含上市公司优先股和</w:t>
      </w:r>
      <w:r>
        <w:rPr>
          <w:rFonts w:hint="eastAsia" w:ascii="Times New Roman" w:hAnsi="Times New Roman" w:eastAsia="仿宋_GB2312" w:cs="Times New Roman"/>
          <w:sz w:val="32"/>
          <w:szCs w:val="32"/>
          <w:highlight w:val="none"/>
          <w:lang w:eastAsia="zh-CN"/>
        </w:rPr>
        <w:t>符合投资范围的</w:t>
      </w:r>
      <w:r>
        <w:rPr>
          <w:rFonts w:hint="eastAsia" w:ascii="Times New Roman" w:hAnsi="Times New Roman" w:eastAsia="仿宋_GB2312" w:cs="Times New Roman"/>
          <w:sz w:val="32"/>
          <w:szCs w:val="32"/>
          <w:highlight w:val="none"/>
        </w:rPr>
        <w:t>非上市公司优先股）；</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八</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信用等级在投资级以上的</w:t>
      </w:r>
      <w:r>
        <w:rPr>
          <w:rFonts w:hint="eastAsia" w:ascii="Times New Roman" w:hAnsi="Times New Roman" w:eastAsia="仿宋_GB2312" w:cs="Times New Roman"/>
          <w:sz w:val="32"/>
          <w:szCs w:val="32"/>
          <w:highlight w:val="none"/>
        </w:rPr>
        <w:t>资产证券化产品</w:t>
      </w:r>
      <w:r>
        <w:rPr>
          <w:rFonts w:hint="eastAsia" w:ascii="Times New Roman" w:hAnsi="Times New Roman" w:eastAsia="仿宋_GB2312" w:cs="Times New Roman"/>
          <w:sz w:val="32"/>
          <w:szCs w:val="32"/>
          <w:highlight w:val="none"/>
          <w:lang w:eastAsia="zh-CN"/>
        </w:rPr>
        <w:t>（含信贷资产支持证券、资产支持票据、证券交易所挂牌交易的资产支持证券）</w:t>
      </w:r>
      <w:r>
        <w:rPr>
          <w:rFonts w:hint="eastAsia" w:ascii="Times New Roman" w:hAnsi="Times New Roman" w:eastAsia="仿宋_GB2312" w:cs="Times New Roman"/>
          <w:sz w:val="32"/>
          <w:szCs w:val="32"/>
          <w:highlight w:val="none"/>
        </w:rPr>
        <w:t>；</w:t>
      </w:r>
    </w:p>
    <w:p>
      <w:pPr>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九</w:t>
      </w:r>
      <w:r>
        <w:rPr>
          <w:rFonts w:hint="eastAsia" w:ascii="Times New Roman" w:hAnsi="Times New Roman" w:eastAsia="仿宋_GB2312" w:cs="Times New Roman"/>
          <w:sz w:val="32"/>
          <w:szCs w:val="32"/>
          <w:highlight w:val="none"/>
        </w:rPr>
        <w:t>）公开募集证券投资基金（含货币市场基金、债券型证券投资基金、混合型证券投资基金、股票型证券投资基金</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公开募集基础设施证券投资基金）</w:t>
      </w:r>
      <w:r>
        <w:rPr>
          <w:rFonts w:hint="eastAsia" w:ascii="Times New Roman" w:hAnsi="Times New Roman" w:eastAsia="仿宋_GB2312" w:cs="Times New Roman"/>
          <w:sz w:val="32"/>
          <w:szCs w:val="32"/>
          <w:highlight w:val="none"/>
          <w:lang w:eastAsia="zh-CN"/>
        </w:rPr>
        <w:t>；</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（十）股指期货、国债期货、股指期权等套期保值工具；</w:t>
      </w:r>
    </w:p>
    <w:p>
      <w:pPr>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（十</w:t>
      </w:r>
      <w:r>
        <w:rPr>
          <w:rFonts w:hint="eastAsia" w:ascii="Times New Roman" w:hAnsi="Times New Roman" w:eastAsia="仿宋_GB2312" w:cs="Times New Roman"/>
          <w:sz w:val="32"/>
          <w:szCs w:val="32"/>
          <w:highlight w:val="none"/>
          <w:lang w:eastAsia="zh-CN"/>
        </w:rPr>
        <w:t>一</w:t>
      </w:r>
      <w:r>
        <w:rPr>
          <w:rFonts w:hint="eastAsia" w:ascii="Times New Roman" w:hAnsi="Times New Roman" w:eastAsia="仿宋_GB2312" w:cs="Times New Roman"/>
          <w:sz w:val="32"/>
          <w:szCs w:val="32"/>
          <w:highlight w:val="none"/>
        </w:rPr>
        <w:t>）养老金产品（含货币型养老金产品、固定收益型养老金产品、混合型养老金产品、股票型养老金产品）</w:t>
      </w:r>
      <w:r>
        <w:rPr>
          <w:rFonts w:hint="eastAsia" w:ascii="Times New Roman" w:hAnsi="Times New Roman" w:eastAsia="仿宋_GB2312" w:cs="Times New Roman"/>
          <w:sz w:val="32"/>
          <w:szCs w:val="32"/>
          <w:highlight w:val="none"/>
          <w:lang w:eastAsia="zh-CN"/>
        </w:rPr>
        <w:t>。</w:t>
      </w:r>
    </w:p>
    <w:p>
      <w:pPr>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投资运</w:t>
      </w:r>
      <w:r>
        <w:rPr>
          <w:rFonts w:hint="eastAsia" w:ascii="Times New Roman" w:hAnsi="Times New Roman" w:eastAsia="仿宋_GB2312" w:cs="Times New Roman"/>
          <w:sz w:val="32"/>
          <w:szCs w:val="32"/>
          <w:highlight w:val="none"/>
          <w:lang w:eastAsia="zh-CN"/>
        </w:rPr>
        <w:t>营</w:t>
      </w:r>
      <w:r>
        <w:rPr>
          <w:rFonts w:hint="eastAsia" w:ascii="Times New Roman" w:hAnsi="Times New Roman" w:eastAsia="仿宋_GB2312" w:cs="Times New Roman"/>
          <w:sz w:val="32"/>
          <w:szCs w:val="32"/>
          <w:highlight w:val="none"/>
        </w:rPr>
        <w:t>前款所列上述产品</w:t>
      </w:r>
      <w:r>
        <w:rPr>
          <w:rFonts w:hint="eastAsia" w:ascii="Times New Roman" w:hAnsi="Times New Roman" w:eastAsia="仿宋_GB2312" w:cs="Times New Roman"/>
          <w:sz w:val="32"/>
          <w:szCs w:val="32"/>
          <w:highlight w:val="none"/>
          <w:lang w:eastAsia="zh-CN"/>
        </w:rPr>
        <w:t>和</w:t>
      </w:r>
      <w:r>
        <w:rPr>
          <w:rFonts w:hint="eastAsia" w:ascii="Times New Roman" w:hAnsi="Times New Roman" w:eastAsia="仿宋_GB2312" w:cs="Times New Roman"/>
          <w:sz w:val="32"/>
          <w:szCs w:val="32"/>
          <w:highlight w:val="none"/>
        </w:rPr>
        <w:t>工具时，社保基金会</w:t>
      </w:r>
      <w:r>
        <w:rPr>
          <w:rFonts w:hint="eastAsia" w:ascii="Times New Roman" w:hAnsi="Times New Roman" w:eastAsia="仿宋_GB2312" w:cs="Times New Roman"/>
          <w:sz w:val="32"/>
          <w:szCs w:val="32"/>
          <w:highlight w:val="none"/>
          <w:lang w:eastAsia="zh-CN"/>
        </w:rPr>
        <w:t>及其投资管理人</w:t>
      </w:r>
      <w:r>
        <w:rPr>
          <w:rFonts w:hint="eastAsia" w:ascii="Times New Roman" w:hAnsi="Times New Roman" w:eastAsia="仿宋_GB2312" w:cs="Times New Roman"/>
          <w:sz w:val="32"/>
          <w:szCs w:val="32"/>
          <w:highlight w:val="none"/>
        </w:rPr>
        <w:t>应当遵守相关行业监管要求。</w:t>
      </w:r>
    </w:p>
    <w:p>
      <w:pPr>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社保基金会直接投资运作的</w:t>
      </w:r>
      <w:r>
        <w:rPr>
          <w:rFonts w:hint="eastAsia" w:ascii="Times New Roman" w:hAnsi="Times New Roman" w:eastAsia="仿宋_GB2312" w:cs="Times New Roman"/>
          <w:sz w:val="32"/>
          <w:szCs w:val="32"/>
          <w:highlight w:val="none"/>
          <w:lang w:eastAsia="zh-CN"/>
        </w:rPr>
        <w:t>全国</w:t>
      </w:r>
      <w:r>
        <w:rPr>
          <w:rFonts w:hint="eastAsia" w:ascii="Times New Roman" w:hAnsi="Times New Roman" w:eastAsia="仿宋_GB2312" w:cs="Times New Roman"/>
          <w:sz w:val="32"/>
          <w:szCs w:val="32"/>
          <w:highlight w:val="none"/>
        </w:rPr>
        <w:t>社保基金的投资范围限于银行存款</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同业存单</w:t>
      </w:r>
      <w:r>
        <w:rPr>
          <w:rFonts w:hint="eastAsia" w:ascii="Times New Roman" w:hAnsi="Times New Roman" w:eastAsia="仿宋_GB2312" w:cs="Times New Roman"/>
          <w:sz w:val="32"/>
          <w:szCs w:val="32"/>
          <w:highlight w:val="none"/>
          <w:lang w:eastAsia="zh-CN"/>
        </w:rPr>
        <w:t>，符合条件的</w:t>
      </w:r>
      <w:r>
        <w:rPr>
          <w:rFonts w:hint="eastAsia" w:ascii="Times New Roman" w:hAnsi="Times New Roman" w:eastAsia="仿宋_GB2312" w:cs="Times New Roman"/>
          <w:sz w:val="32"/>
          <w:szCs w:val="32"/>
          <w:highlight w:val="none"/>
        </w:rPr>
        <w:t>直接股权投资</w:t>
      </w:r>
      <w:r>
        <w:rPr>
          <w:rFonts w:hint="eastAsia" w:ascii="Times New Roman" w:hAnsi="Times New Roman" w:eastAsia="仿宋_GB2312" w:cs="Times New Roman"/>
          <w:sz w:val="32"/>
          <w:szCs w:val="32"/>
          <w:highlight w:val="none"/>
          <w:lang w:eastAsia="zh-CN"/>
        </w:rPr>
        <w:t>、产业基金、股权投资基金（含创业投资基金）、</w:t>
      </w:r>
      <w:r>
        <w:rPr>
          <w:rFonts w:hint="eastAsia" w:ascii="Times New Roman" w:hAnsi="Times New Roman" w:eastAsia="仿宋_GB2312" w:cs="Times New Roman"/>
          <w:sz w:val="32"/>
          <w:szCs w:val="32"/>
          <w:highlight w:val="none"/>
        </w:rPr>
        <w:t>优先股</w:t>
      </w:r>
      <w:r>
        <w:rPr>
          <w:rFonts w:hint="eastAsia" w:ascii="Times New Roman" w:hAnsi="Times New Roman" w:eastAsia="仿宋_GB2312" w:cs="Times New Roman"/>
          <w:sz w:val="32"/>
          <w:szCs w:val="32"/>
          <w:highlight w:val="none"/>
          <w:lang w:eastAsia="zh-CN"/>
        </w:rPr>
        <w:t>，经批准的</w:t>
      </w:r>
      <w:r>
        <w:rPr>
          <w:rFonts w:hint="eastAsia" w:ascii="Times New Roman" w:hAnsi="Times New Roman" w:eastAsia="仿宋_GB2312" w:cs="Times New Roman"/>
          <w:sz w:val="32"/>
          <w:szCs w:val="32"/>
          <w:highlight w:val="none"/>
        </w:rPr>
        <w:t>股票指数投资</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交易型开放式指数基金以及经国务院批准的其他产品或工具</w:t>
      </w:r>
      <w:r>
        <w:rPr>
          <w:rFonts w:hint="eastAsia" w:ascii="Times New Roman" w:hAnsi="Times New Roman" w:eastAsia="仿宋_GB2312" w:cs="Times New Roman"/>
          <w:sz w:val="32"/>
          <w:szCs w:val="32"/>
          <w:highlight w:val="none"/>
          <w:lang w:eastAsia="zh-CN"/>
        </w:rPr>
        <w:t>。</w:t>
      </w:r>
    </w:p>
    <w:p>
      <w:pPr>
        <w:numPr>
          <w:ilvl w:val="-1"/>
          <w:numId w:val="0"/>
        </w:num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第十四条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lang w:val="en-US" w:eastAsia="zh-CN"/>
        </w:rPr>
        <w:t>境内和境外各类产品和工具投资比例，按成本计算，</w:t>
      </w:r>
      <w:r>
        <w:rPr>
          <w:rFonts w:hint="eastAsia" w:ascii="Times New Roman" w:hAnsi="Times New Roman" w:eastAsia="仿宋_GB2312" w:cs="Times New Roman"/>
          <w:sz w:val="32"/>
          <w:szCs w:val="32"/>
          <w:highlight w:val="none"/>
        </w:rPr>
        <w:t>应当符合下列规定：</w:t>
      </w:r>
    </w:p>
    <w:p>
      <w:pPr>
        <w:numPr>
          <w:ilvl w:val="0"/>
          <w:numId w:val="0"/>
        </w:num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rPr>
        <w:t>（一）银行存款</w:t>
      </w:r>
      <w:r>
        <w:rPr>
          <w:rFonts w:hint="eastAsia" w:ascii="Times New Roman" w:hAnsi="Times New Roman" w:eastAsia="仿宋_GB2312" w:cs="Times New Roman"/>
          <w:sz w:val="32"/>
          <w:szCs w:val="32"/>
          <w:highlight w:val="none"/>
          <w:lang w:eastAsia="zh-CN"/>
        </w:rPr>
        <w:t>，同业</w:t>
      </w:r>
      <w:r>
        <w:rPr>
          <w:rFonts w:hint="eastAsia" w:ascii="Times New Roman" w:hAnsi="Times New Roman" w:eastAsia="仿宋_GB2312" w:cs="Times New Roman"/>
          <w:sz w:val="32"/>
          <w:szCs w:val="32"/>
          <w:highlight w:val="none"/>
        </w:rPr>
        <w:t>存单，国债，政策性、开发性</w:t>
      </w:r>
      <w:r>
        <w:rPr>
          <w:rFonts w:hint="eastAsia" w:ascii="Times New Roman" w:hAnsi="Times New Roman" w:eastAsia="仿宋_GB2312" w:cs="Times New Roman"/>
          <w:sz w:val="32"/>
          <w:szCs w:val="32"/>
          <w:highlight w:val="none"/>
          <w:lang w:eastAsia="zh-CN"/>
        </w:rPr>
        <w:t>银行债券</w:t>
      </w:r>
      <w:r>
        <w:rPr>
          <w:rFonts w:hint="eastAsia" w:ascii="Times New Roman" w:hAnsi="Times New Roman" w:eastAsia="仿宋_GB2312" w:cs="Times New Roman"/>
          <w:sz w:val="32"/>
          <w:szCs w:val="32"/>
          <w:highlight w:val="none"/>
        </w:rPr>
        <w:t>，地方政府债券，</w:t>
      </w:r>
      <w:r>
        <w:rPr>
          <w:rFonts w:hint="eastAsia" w:ascii="Times New Roman" w:hAnsi="Times New Roman" w:eastAsia="仿宋_GB2312" w:cs="Times New Roman"/>
          <w:sz w:val="32"/>
          <w:szCs w:val="32"/>
          <w:highlight w:val="none"/>
          <w:lang w:eastAsia="zh-CN"/>
        </w:rPr>
        <w:t>政府债券回购，</w:t>
      </w:r>
      <w:r>
        <w:rPr>
          <w:rFonts w:hint="eastAsia" w:ascii="Times New Roman" w:hAnsi="Times New Roman" w:eastAsia="仿宋_GB2312" w:cs="Times New Roman"/>
          <w:sz w:val="32"/>
          <w:szCs w:val="32"/>
          <w:highlight w:val="none"/>
        </w:rPr>
        <w:t>中国国家铁路集团有限公司发行的铁路债券</w:t>
      </w:r>
      <w:r>
        <w:rPr>
          <w:rFonts w:hint="eastAsia" w:ascii="Times New Roman" w:hAnsi="Times New Roman" w:eastAsia="仿宋_GB2312" w:cs="Times New Roman"/>
          <w:sz w:val="32"/>
          <w:szCs w:val="32"/>
          <w:highlight w:val="none"/>
          <w:lang w:eastAsia="zh-CN"/>
        </w:rPr>
        <w:t>、汇金债，</w:t>
      </w:r>
      <w:r>
        <w:rPr>
          <w:rFonts w:hint="eastAsia" w:ascii="Times New Roman" w:hAnsi="Times New Roman" w:eastAsia="仿宋_GB2312" w:cs="Times New Roman"/>
          <w:sz w:val="32"/>
          <w:szCs w:val="32"/>
          <w:highlight w:val="none"/>
        </w:rPr>
        <w:t>不得低于</w:t>
      </w:r>
      <w:r>
        <w:rPr>
          <w:rFonts w:hint="eastAsia" w:ascii="Times New Roman" w:hAnsi="Times New Roman" w:eastAsia="仿宋_GB2312" w:cs="Times New Roman"/>
          <w:sz w:val="32"/>
          <w:szCs w:val="32"/>
          <w:highlight w:val="none"/>
          <w:lang w:val="en-US" w:eastAsia="zh-CN"/>
        </w:rPr>
        <w:t>40</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其中，银行存款的比例不得低于</w:t>
      </w:r>
      <w:r>
        <w:rPr>
          <w:rFonts w:hint="eastAsia" w:ascii="Times New Roman" w:hAnsi="Times New Roman" w:eastAsia="仿宋_GB2312" w:cs="Times New Roman"/>
          <w:sz w:val="32"/>
          <w:szCs w:val="32"/>
          <w:highlight w:val="none"/>
          <w:lang w:val="en-US" w:eastAsia="zh-CN"/>
        </w:rPr>
        <w:t>10%，在一家银行的存款不得高于全国社保基金银行存款总额的25%；</w:t>
      </w:r>
    </w:p>
    <w:p>
      <w:pPr>
        <w:numPr>
          <w:ilvl w:val="0"/>
          <w:numId w:val="0"/>
        </w:numPr>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（二）信用等级在投资级以上的企业（公司）债、金融债、</w:t>
      </w:r>
      <w:r>
        <w:rPr>
          <w:rFonts w:hint="eastAsia" w:ascii="Times New Roman" w:hAnsi="Times New Roman" w:eastAsia="仿宋_GB2312" w:cs="Times New Roman"/>
          <w:sz w:val="32"/>
          <w:szCs w:val="32"/>
          <w:highlight w:val="none"/>
          <w:lang w:eastAsia="zh-CN"/>
        </w:rPr>
        <w:t>非金融企业</w:t>
      </w:r>
      <w:r>
        <w:rPr>
          <w:rFonts w:hint="eastAsia" w:ascii="Times New Roman" w:hAnsi="Times New Roman" w:eastAsia="仿宋_GB2312" w:cs="Times New Roman"/>
          <w:sz w:val="32"/>
          <w:szCs w:val="32"/>
          <w:highlight w:val="none"/>
        </w:rPr>
        <w:t>债务融资工具</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货币市场基金</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kern w:val="2"/>
          <w:sz w:val="32"/>
          <w:szCs w:val="32"/>
          <w:highlight w:val="none"/>
        </w:rPr>
        <w:t>债券型证券投资基金</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sz w:val="32"/>
          <w:szCs w:val="32"/>
          <w:highlight w:val="none"/>
        </w:rPr>
        <w:t>货币型养老金产品</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kern w:val="2"/>
          <w:sz w:val="32"/>
          <w:szCs w:val="32"/>
          <w:highlight w:val="none"/>
        </w:rPr>
        <w:t>固定收益型养老金产品</w:t>
      </w:r>
      <w:r>
        <w:rPr>
          <w:rFonts w:hint="eastAsia" w:ascii="Times New Roman" w:hAnsi="Times New Roman" w:eastAsia="仿宋_GB2312" w:cs="Times New Roman"/>
          <w:sz w:val="32"/>
          <w:szCs w:val="32"/>
          <w:highlight w:val="none"/>
          <w:lang w:eastAsia="zh-CN"/>
        </w:rPr>
        <w:t>、资产证券化产品</w:t>
      </w:r>
      <w:r>
        <w:rPr>
          <w:rFonts w:hint="eastAsia" w:ascii="Times New Roman" w:hAnsi="Times New Roman" w:eastAsia="仿宋_GB2312" w:cs="Times New Roman"/>
          <w:sz w:val="32"/>
          <w:szCs w:val="32"/>
          <w:highlight w:val="none"/>
        </w:rPr>
        <w:t>，合计不得高于</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rPr>
        <w:t>0%</w:t>
      </w:r>
      <w:r>
        <w:rPr>
          <w:rFonts w:hint="eastAsia" w:ascii="Times New Roman" w:hAnsi="Times New Roman" w:eastAsia="仿宋_GB2312" w:cs="Times New Roman"/>
          <w:sz w:val="32"/>
          <w:szCs w:val="32"/>
          <w:highlight w:val="none"/>
        </w:rPr>
        <w:t>；其中，资产证券化产品不得高于</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rPr>
        <w:t>；</w:t>
      </w:r>
    </w:p>
    <w:p>
      <w:pPr>
        <w:numPr>
          <w:ilvl w:val="0"/>
          <w:numId w:val="0"/>
        </w:numPr>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债券正回购的资金余额在每个交易日均不得高于全国</w:t>
      </w:r>
      <w:r>
        <w:rPr>
          <w:rFonts w:hint="eastAsia" w:ascii="Times New Roman" w:hAnsi="Times New Roman" w:eastAsia="仿宋_GB2312" w:cs="Times New Roman"/>
          <w:sz w:val="32"/>
          <w:szCs w:val="32"/>
          <w:highlight w:val="none"/>
          <w:lang w:eastAsia="zh-CN"/>
        </w:rPr>
        <w:t>社保</w:t>
      </w:r>
      <w:r>
        <w:rPr>
          <w:rFonts w:hint="eastAsia" w:ascii="Times New Roman" w:hAnsi="Times New Roman" w:eastAsia="仿宋_GB2312" w:cs="Times New Roman"/>
          <w:sz w:val="32"/>
          <w:szCs w:val="32"/>
          <w:highlight w:val="none"/>
        </w:rPr>
        <w:t>基金资产净值的</w:t>
      </w:r>
      <w:r>
        <w:rPr>
          <w:rFonts w:hint="eastAsia" w:ascii="Times New Roman" w:hAnsi="Times New Roman" w:eastAsia="仿宋_GB2312" w:cs="Times New Roman"/>
          <w:sz w:val="32"/>
          <w:szCs w:val="32"/>
          <w:highlight w:val="none"/>
        </w:rPr>
        <w:t>40%</w:t>
      </w:r>
      <w:r>
        <w:rPr>
          <w:rFonts w:hint="eastAsia" w:ascii="Times New Roman" w:hAnsi="Times New Roman" w:eastAsia="仿宋_GB2312" w:cs="Times New Roman"/>
          <w:sz w:val="32"/>
          <w:szCs w:val="32"/>
          <w:highlight w:val="none"/>
        </w:rPr>
        <w:t>；</w:t>
      </w:r>
    </w:p>
    <w:p>
      <w:pPr>
        <w:numPr>
          <w:ilvl w:val="0"/>
          <w:numId w:val="0"/>
        </w:numPr>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（三）股票、股票型证券投资基金、混合型证券投资基金、股票型养老金产品、混合型养老金产品</w:t>
      </w:r>
      <w:r>
        <w:rPr>
          <w:rFonts w:hint="eastAsia" w:ascii="Times New Roman" w:hAnsi="Times New Roman" w:eastAsia="仿宋_GB2312" w:cs="Times New Roman"/>
          <w:kern w:val="2"/>
          <w:sz w:val="32"/>
          <w:szCs w:val="32"/>
          <w:highlight w:val="none"/>
        </w:rPr>
        <w:t>、</w:t>
      </w:r>
      <w:r>
        <w:rPr>
          <w:rFonts w:hint="eastAsia" w:ascii="Times New Roman" w:hAnsi="Times New Roman" w:eastAsia="仿宋_GB2312" w:cs="Times New Roman"/>
          <w:sz w:val="32"/>
          <w:szCs w:val="32"/>
          <w:highlight w:val="none"/>
        </w:rPr>
        <w:t>公开募集基础设施证券投资基金、上市公司优先股</w:t>
      </w:r>
      <w:r>
        <w:rPr>
          <w:rFonts w:hint="eastAsia" w:ascii="Times New Roman" w:hAnsi="Times New Roman" w:eastAsia="仿宋_GB2312" w:cs="Times New Roman"/>
          <w:sz w:val="32"/>
          <w:szCs w:val="32"/>
          <w:highlight w:val="none"/>
          <w:lang w:eastAsia="zh-CN"/>
        </w:rPr>
        <w:t>、中国存托凭证，</w:t>
      </w:r>
      <w:r>
        <w:rPr>
          <w:rFonts w:hint="eastAsia" w:ascii="Times New Roman" w:hAnsi="Times New Roman" w:eastAsia="仿宋_GB2312" w:cs="Times New Roman"/>
          <w:sz w:val="32"/>
          <w:szCs w:val="32"/>
          <w:highlight w:val="none"/>
        </w:rPr>
        <w:t>合计不得高于</w:t>
      </w:r>
      <w:r>
        <w:rPr>
          <w:rFonts w:hint="eastAsia" w:ascii="Times New Roman" w:hAnsi="Times New Roman" w:eastAsia="仿宋_GB2312" w:cs="Times New Roman"/>
          <w:sz w:val="32"/>
          <w:szCs w:val="32"/>
          <w:highlight w:val="none"/>
        </w:rPr>
        <w:t>40</w:t>
      </w:r>
      <w:r>
        <w:rPr>
          <w:rFonts w:hint="eastAsia" w:ascii="Times New Roman" w:hAnsi="Times New Roman" w:eastAsia="仿宋_GB2312" w:cs="Times New Roman"/>
          <w:sz w:val="32"/>
          <w:szCs w:val="32"/>
          <w:highlight w:val="none"/>
        </w:rPr>
        <w:t>％；</w:t>
      </w:r>
    </w:p>
    <w:p>
      <w:pPr>
        <w:numPr>
          <w:ilvl w:val="0"/>
          <w:numId w:val="0"/>
        </w:numPr>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（四）直接股权投资、非上市公司优先股合计不得高于</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rPr>
        <w:t>0%；产业基金和股权投资基金（含创业投资基金）不得高于</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rPr>
        <w:t>%；上市公司优先股和非上市公司优先股合计不得高于5%</w:t>
      </w:r>
      <w:r>
        <w:rPr>
          <w:rFonts w:hint="eastAsia" w:ascii="Times New Roman" w:hAnsi="Times New Roman" w:eastAsia="仿宋_GB2312" w:cs="Times New Roman"/>
          <w:sz w:val="32"/>
          <w:szCs w:val="32"/>
          <w:highlight w:val="none"/>
          <w:lang w:eastAsia="zh-CN"/>
        </w:rPr>
        <w:t>。</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第十</w:t>
      </w:r>
      <w:r>
        <w:rPr>
          <w:rFonts w:hint="eastAsia" w:ascii="Times New Roman" w:hAnsi="Times New Roman" w:eastAsia="黑体" w:cs="Times New Roman"/>
          <w:color w:val="000000"/>
          <w:sz w:val="32"/>
          <w:szCs w:val="28"/>
          <w:highlight w:val="none"/>
          <w:lang w:eastAsia="zh-CN"/>
        </w:rPr>
        <w:t>五</w:t>
      </w:r>
      <w:r>
        <w:rPr>
          <w:rFonts w:hint="eastAsia" w:ascii="Times New Roman" w:hAnsi="Times New Roman" w:eastAsia="黑体" w:cs="Times New Roman"/>
          <w:color w:val="000000"/>
          <w:sz w:val="32"/>
          <w:szCs w:val="28"/>
          <w:highlight w:val="none"/>
        </w:rPr>
        <w:t>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按</w:t>
      </w:r>
      <w:r>
        <w:rPr>
          <w:rFonts w:hint="eastAsia" w:ascii="Times New Roman" w:hAnsi="Times New Roman" w:eastAsia="仿宋_GB2312" w:cs="Times New Roman"/>
          <w:sz w:val="32"/>
          <w:szCs w:val="32"/>
          <w:highlight w:val="none"/>
          <w:lang w:eastAsia="zh-CN"/>
        </w:rPr>
        <w:t>成本</w:t>
      </w:r>
      <w:r>
        <w:rPr>
          <w:rFonts w:hint="eastAsia" w:ascii="Times New Roman" w:hAnsi="Times New Roman" w:eastAsia="仿宋_GB2312" w:cs="Times New Roman"/>
          <w:sz w:val="32"/>
          <w:szCs w:val="32"/>
          <w:highlight w:val="none"/>
        </w:rPr>
        <w:t>计算</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单个投资管理人管理的全国社保基金资产投资于</w:t>
      </w:r>
      <w:r>
        <w:rPr>
          <w:rFonts w:hint="eastAsia" w:ascii="Times New Roman" w:hAnsi="Times New Roman" w:eastAsia="仿宋_GB2312" w:cs="Times New Roman"/>
          <w:sz w:val="32"/>
          <w:szCs w:val="32"/>
          <w:highlight w:val="none"/>
          <w:lang w:eastAsia="zh-CN"/>
        </w:rPr>
        <w:t>单一</w:t>
      </w:r>
      <w:r>
        <w:rPr>
          <w:rFonts w:hint="eastAsia" w:ascii="Times New Roman" w:hAnsi="Times New Roman" w:eastAsia="仿宋_GB2312" w:cs="Times New Roman"/>
          <w:sz w:val="32"/>
          <w:szCs w:val="32"/>
          <w:highlight w:val="none"/>
        </w:rPr>
        <w:t>企业所发行的证券、单</w:t>
      </w:r>
      <w:r>
        <w:rPr>
          <w:rFonts w:hint="eastAsia" w:ascii="Times New Roman" w:hAnsi="Times New Roman" w:eastAsia="仿宋_GB2312" w:cs="Times New Roman"/>
          <w:sz w:val="32"/>
          <w:szCs w:val="32"/>
          <w:highlight w:val="none"/>
          <w:lang w:eastAsia="zh-CN"/>
        </w:rPr>
        <w:t>一</w:t>
      </w:r>
      <w:r>
        <w:rPr>
          <w:rFonts w:hint="eastAsia" w:ascii="Times New Roman" w:hAnsi="Times New Roman" w:eastAsia="仿宋_GB2312" w:cs="Times New Roman"/>
          <w:sz w:val="32"/>
          <w:szCs w:val="32"/>
          <w:highlight w:val="none"/>
        </w:rPr>
        <w:t>证券投资基金，不得超过该企业所发行证券或该基金份额的</w:t>
      </w:r>
      <w:r>
        <w:rPr>
          <w:rFonts w:hint="eastAsia" w:ascii="Times New Roman" w:hAnsi="Times New Roman" w:eastAsia="仿宋_GB2312" w:cs="Times New Roman"/>
          <w:sz w:val="32"/>
          <w:szCs w:val="32"/>
          <w:highlight w:val="none"/>
          <w:lang w:val="en-US" w:eastAsia="zh-CN"/>
        </w:rPr>
        <w:t>10</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，不得超过其管理的全国社保基金资产总值的</w:t>
      </w:r>
      <w:r>
        <w:rPr>
          <w:rFonts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lang w:eastAsia="zh-CN"/>
        </w:rPr>
        <w:t>；单个投资组合投资于单一</w:t>
      </w:r>
      <w:r>
        <w:rPr>
          <w:rFonts w:hint="eastAsia" w:ascii="Times New Roman" w:hAnsi="Times New Roman" w:eastAsia="仿宋_GB2312" w:cs="Times New Roman"/>
          <w:sz w:val="32"/>
          <w:szCs w:val="32"/>
          <w:highlight w:val="none"/>
        </w:rPr>
        <w:t>企业所发行的证券、单</w:t>
      </w:r>
      <w:r>
        <w:rPr>
          <w:rFonts w:hint="eastAsia" w:ascii="Times New Roman" w:hAnsi="Times New Roman" w:eastAsia="仿宋_GB2312" w:cs="Times New Roman"/>
          <w:sz w:val="32"/>
          <w:szCs w:val="32"/>
          <w:highlight w:val="none"/>
          <w:lang w:eastAsia="zh-CN"/>
        </w:rPr>
        <w:t>一</w:t>
      </w:r>
      <w:r>
        <w:rPr>
          <w:rFonts w:hint="eastAsia" w:ascii="Times New Roman" w:hAnsi="Times New Roman" w:eastAsia="仿宋_GB2312" w:cs="Times New Roman"/>
          <w:sz w:val="32"/>
          <w:szCs w:val="32"/>
          <w:highlight w:val="none"/>
        </w:rPr>
        <w:t>证券投资基金，不得超过该企业所发行证券或该基金份额的</w:t>
      </w: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w:t>
      </w:r>
    </w:p>
    <w:p>
      <w:pPr>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投资管理人管理的全国社保基金资产投资于自己管理的基金须经社保基金会认可。</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第十</w:t>
      </w:r>
      <w:r>
        <w:rPr>
          <w:rFonts w:hint="eastAsia" w:ascii="Times New Roman" w:hAnsi="Times New Roman" w:eastAsia="黑体" w:cs="Times New Roman"/>
          <w:color w:val="000000"/>
          <w:sz w:val="32"/>
          <w:szCs w:val="28"/>
          <w:highlight w:val="none"/>
          <w:lang w:eastAsia="zh-CN"/>
        </w:rPr>
        <w:t>六</w:t>
      </w:r>
      <w:r>
        <w:rPr>
          <w:rFonts w:hint="eastAsia" w:ascii="Times New Roman" w:hAnsi="Times New Roman" w:eastAsia="黑体" w:cs="Times New Roman"/>
          <w:color w:val="000000"/>
          <w:sz w:val="32"/>
          <w:szCs w:val="28"/>
          <w:highlight w:val="none"/>
        </w:rPr>
        <w:t>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委托单个投资管理人进行管理的资产，</w:t>
      </w:r>
      <w:r>
        <w:rPr>
          <w:rFonts w:hint="eastAsia" w:ascii="Times New Roman" w:hAnsi="Times New Roman" w:eastAsia="仿宋_GB2312" w:cs="Times New Roman"/>
          <w:sz w:val="32"/>
          <w:szCs w:val="32"/>
          <w:highlight w:val="none"/>
          <w:lang w:eastAsia="zh-CN"/>
        </w:rPr>
        <w:t>按成本计算</w:t>
      </w:r>
      <w:r>
        <w:rPr>
          <w:rFonts w:hint="eastAsia" w:ascii="Times New Roman" w:hAnsi="Times New Roman" w:eastAsia="仿宋_GB2312" w:cs="Times New Roman"/>
          <w:sz w:val="32"/>
          <w:szCs w:val="32"/>
          <w:highlight w:val="none"/>
        </w:rPr>
        <w:t>不得超过年度全国社保基金委托资产总值的</w:t>
      </w:r>
      <w:r>
        <w:rPr>
          <w:rFonts w:hint="eastAsia" w:ascii="Times New Roman" w:hAnsi="Times New Roman" w:eastAsia="仿宋_GB2312" w:cs="Times New Roman"/>
          <w:sz w:val="32"/>
          <w:szCs w:val="32"/>
          <w:highlight w:val="none"/>
          <w:lang w:val="en-US" w:eastAsia="zh-CN"/>
        </w:rPr>
        <w:t>15</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w:t>
      </w:r>
    </w:p>
    <w:p>
      <w:pPr>
        <w:spacing w:line="600" w:lineRule="exact"/>
        <w:ind w:firstLine="640" w:firstLineChars="200"/>
        <w:rPr>
          <w:rFonts w:ascii="Times New Roman" w:hAnsi="Times New Roman" w:eastAsia="黑体" w:cs="Times New Roman"/>
          <w:color w:val="000000"/>
          <w:sz w:val="32"/>
          <w:szCs w:val="28"/>
          <w:highlight w:val="none"/>
        </w:rPr>
      </w:pPr>
      <w:r>
        <w:rPr>
          <w:rFonts w:hint="eastAsia" w:ascii="Times New Roman" w:hAnsi="Times New Roman" w:eastAsia="黑体" w:cs="Times New Roman"/>
          <w:color w:val="000000"/>
          <w:sz w:val="32"/>
          <w:szCs w:val="28"/>
          <w:highlight w:val="none"/>
        </w:rPr>
        <w:t>第十</w:t>
      </w:r>
      <w:r>
        <w:rPr>
          <w:rFonts w:hint="eastAsia" w:ascii="Times New Roman" w:hAnsi="Times New Roman" w:eastAsia="黑体" w:cs="Times New Roman"/>
          <w:color w:val="000000"/>
          <w:sz w:val="32"/>
          <w:szCs w:val="28"/>
          <w:highlight w:val="none"/>
          <w:lang w:eastAsia="zh-CN"/>
        </w:rPr>
        <w:t>七</w:t>
      </w:r>
      <w:r>
        <w:rPr>
          <w:rFonts w:hint="eastAsia" w:ascii="Times New Roman" w:hAnsi="Times New Roman" w:eastAsia="黑体" w:cs="Times New Roman"/>
          <w:color w:val="000000"/>
          <w:sz w:val="32"/>
          <w:szCs w:val="28"/>
          <w:highlight w:val="none"/>
        </w:rPr>
        <w:t>条</w:t>
      </w:r>
      <w:r>
        <w:rPr>
          <w:rFonts w:ascii="Times New Roman" w:hAnsi="Times New Roman" w:eastAsia="黑体" w:cs="Times New Roman"/>
          <w:color w:val="000000"/>
          <w:sz w:val="32"/>
          <w:szCs w:val="28"/>
          <w:highlight w:val="none"/>
        </w:rPr>
        <w:t xml:space="preserve"> </w:t>
      </w:r>
      <w:r>
        <w:rPr>
          <w:rFonts w:hint="eastAsia" w:ascii="Times New Roman" w:hAnsi="Times New Roman" w:eastAsia="仿宋_GB2312" w:cs="Times New Roman"/>
          <w:sz w:val="32"/>
          <w:szCs w:val="32"/>
          <w:highlight w:val="none"/>
          <w:lang w:val="en-US" w:eastAsia="zh-CN"/>
        </w:rPr>
        <w:t>社保基金会</w:t>
      </w:r>
      <w:r>
        <w:rPr>
          <w:rFonts w:hint="eastAsia" w:ascii="Times New Roman" w:hAnsi="Times New Roman" w:eastAsia="仿宋_GB2312" w:cs="Times New Roman"/>
          <w:sz w:val="32"/>
          <w:szCs w:val="32"/>
          <w:highlight w:val="none"/>
          <w:lang w:val="en-US" w:eastAsia="zh-CN"/>
        </w:rPr>
        <w:t>应有效防范集中度风险。</w:t>
      </w:r>
      <w:r>
        <w:rPr>
          <w:rFonts w:hint="eastAsia" w:ascii="Times New Roman" w:hAnsi="Times New Roman" w:eastAsia="仿宋_GB2312" w:cs="Times New Roman"/>
          <w:sz w:val="32"/>
          <w:szCs w:val="32"/>
          <w:highlight w:val="none"/>
        </w:rPr>
        <w:t>按</w:t>
      </w:r>
      <w:r>
        <w:rPr>
          <w:rFonts w:hint="eastAsia" w:ascii="Times New Roman" w:hAnsi="Times New Roman" w:eastAsia="仿宋_GB2312" w:cs="Times New Roman"/>
          <w:sz w:val="32"/>
          <w:szCs w:val="32"/>
          <w:highlight w:val="none"/>
          <w:lang w:eastAsia="zh-CN"/>
        </w:rPr>
        <w:t>成本</w:t>
      </w:r>
      <w:r>
        <w:rPr>
          <w:rFonts w:hint="eastAsia" w:ascii="Times New Roman" w:hAnsi="Times New Roman" w:eastAsia="仿宋_GB2312" w:cs="Times New Roman"/>
          <w:sz w:val="32"/>
          <w:szCs w:val="32"/>
          <w:highlight w:val="none"/>
        </w:rPr>
        <w:t>计算，全国社保基金投资单一股权项目不高于该投资标的总规模的30%</w:t>
      </w:r>
      <w:r>
        <w:rPr>
          <w:rFonts w:hint="eastAsia" w:ascii="Times New Roman" w:hAnsi="Times New Roman" w:eastAsia="仿宋_GB2312" w:cs="Times New Roman"/>
          <w:sz w:val="32"/>
          <w:szCs w:val="32"/>
          <w:highlight w:val="none"/>
          <w:lang w:eastAsia="zh-CN"/>
        </w:rPr>
        <w:t>，投资单一</w:t>
      </w:r>
      <w:r>
        <w:rPr>
          <w:rFonts w:hint="eastAsia" w:ascii="Times New Roman" w:hAnsi="Times New Roman" w:eastAsia="仿宋_GB2312" w:cs="Times New Roman"/>
          <w:sz w:val="32"/>
          <w:szCs w:val="32"/>
          <w:highlight w:val="none"/>
        </w:rPr>
        <w:t>资产证券化产品</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优先股不高于</w:t>
      </w:r>
      <w:r>
        <w:rPr>
          <w:rFonts w:hint="eastAsia" w:ascii="Times New Roman" w:hAnsi="Times New Roman" w:eastAsia="仿宋_GB2312" w:cs="Times New Roman"/>
          <w:sz w:val="32"/>
          <w:szCs w:val="32"/>
          <w:highlight w:val="none"/>
          <w:lang w:eastAsia="zh-CN"/>
        </w:rPr>
        <w:t>该投资标的总规模的</w:t>
      </w:r>
      <w:r>
        <w:rPr>
          <w:rFonts w:hint="eastAsia" w:ascii="Times New Roman" w:hAnsi="Times New Roman" w:eastAsia="仿宋_GB2312" w:cs="Times New Roman"/>
          <w:sz w:val="32"/>
          <w:szCs w:val="32"/>
          <w:highlight w:val="none"/>
        </w:rPr>
        <w:t>20%。</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w:t>
      </w:r>
      <w:r>
        <w:rPr>
          <w:rFonts w:hint="eastAsia" w:ascii="Times New Roman" w:hAnsi="Times New Roman" w:eastAsia="黑体" w:cs="Times New Roman"/>
          <w:color w:val="000000"/>
          <w:sz w:val="32"/>
          <w:szCs w:val="28"/>
          <w:highlight w:val="none"/>
          <w:lang w:eastAsia="zh-CN"/>
        </w:rPr>
        <w:t>十八</w:t>
      </w:r>
      <w:r>
        <w:rPr>
          <w:rFonts w:hint="eastAsia" w:ascii="Times New Roman" w:hAnsi="Times New Roman" w:eastAsia="黑体" w:cs="Times New Roman"/>
          <w:color w:val="000000"/>
          <w:sz w:val="32"/>
          <w:szCs w:val="28"/>
          <w:highlight w:val="none"/>
        </w:rPr>
        <w:t>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全国社保基金参与股指期货、国债期货、股指期权交易只能以套期保值为目的</w:t>
      </w:r>
      <w:r>
        <w:rPr>
          <w:rFonts w:hint="eastAsia" w:ascii="Times New Roman" w:hAnsi="Times New Roman" w:eastAsia="仿宋_GB2312" w:cs="Times New Roman"/>
          <w:sz w:val="32"/>
          <w:szCs w:val="32"/>
          <w:highlight w:val="none"/>
          <w:lang w:eastAsia="zh-CN"/>
        </w:rPr>
        <w:t>，</w:t>
      </w:r>
      <w:r>
        <w:rPr>
          <w:rFonts w:hint="eastAsia" w:ascii="仿宋_GB2312" w:eastAsia="仿宋_GB2312"/>
          <w:sz w:val="32"/>
          <w:szCs w:val="32"/>
          <w:highlight w:val="none"/>
          <w:lang w:eastAsia="zh-CN"/>
        </w:rPr>
        <w:t>并按照中国金融期货交易所套期保值管理的有关规定执行</w:t>
      </w:r>
      <w:r>
        <w:rPr>
          <w:rFonts w:hint="eastAsia" w:ascii="仿宋_GB2312" w:eastAsia="仿宋_GB2312"/>
          <w:sz w:val="32"/>
          <w:szCs w:val="32"/>
          <w:highlight w:val="none"/>
        </w:rPr>
        <w:t>。</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w:t>
      </w:r>
      <w:r>
        <w:rPr>
          <w:rFonts w:hint="eastAsia" w:ascii="Times New Roman" w:hAnsi="Times New Roman" w:eastAsia="黑体" w:cs="Times New Roman"/>
          <w:color w:val="000000"/>
          <w:sz w:val="32"/>
          <w:szCs w:val="28"/>
          <w:highlight w:val="none"/>
          <w:lang w:eastAsia="zh-CN"/>
        </w:rPr>
        <w:t>十九</w:t>
      </w:r>
      <w:r>
        <w:rPr>
          <w:rFonts w:hint="eastAsia" w:ascii="Times New Roman" w:hAnsi="Times New Roman" w:eastAsia="黑体" w:cs="Times New Roman"/>
          <w:color w:val="000000"/>
          <w:sz w:val="32"/>
          <w:szCs w:val="28"/>
          <w:highlight w:val="none"/>
        </w:rPr>
        <w:t>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根据全国社保基金投资运</w:t>
      </w:r>
      <w:r>
        <w:rPr>
          <w:rFonts w:hint="eastAsia" w:ascii="Times New Roman" w:hAnsi="Times New Roman" w:eastAsia="仿宋_GB2312" w:cs="Times New Roman"/>
          <w:sz w:val="32"/>
          <w:szCs w:val="32"/>
          <w:highlight w:val="none"/>
          <w:lang w:eastAsia="zh-CN"/>
        </w:rPr>
        <w:t>营</w:t>
      </w:r>
      <w:r>
        <w:rPr>
          <w:rFonts w:hint="eastAsia" w:ascii="Times New Roman" w:hAnsi="Times New Roman" w:eastAsia="仿宋_GB2312" w:cs="Times New Roman"/>
          <w:sz w:val="32"/>
          <w:szCs w:val="32"/>
          <w:highlight w:val="none"/>
        </w:rPr>
        <w:t>需要及金融市场变化，</w:t>
      </w:r>
      <w:r>
        <w:rPr>
          <w:rFonts w:hint="eastAsia" w:ascii="Times New Roman" w:hAnsi="Times New Roman" w:eastAsia="仿宋_GB2312" w:cs="Times New Roman"/>
          <w:sz w:val="32"/>
          <w:szCs w:val="32"/>
          <w:highlight w:val="none"/>
          <w:lang w:eastAsia="zh-CN"/>
        </w:rPr>
        <w:t>财政部、人力资源社会保障部</w:t>
      </w:r>
      <w:r>
        <w:rPr>
          <w:rFonts w:hint="eastAsia" w:ascii="Times New Roman" w:hAnsi="Times New Roman" w:eastAsia="仿宋_GB2312" w:cs="Times New Roman"/>
          <w:sz w:val="32"/>
          <w:szCs w:val="32"/>
          <w:highlight w:val="none"/>
        </w:rPr>
        <w:t>商有关部门适时报请国务院对全国社保基金投资范围和比例进行调整。</w:t>
      </w:r>
    </w:p>
    <w:p>
      <w:pPr>
        <w:spacing w:before="156" w:beforeLines="50" w:after="156" w:afterLines="50" w:line="600" w:lineRule="exact"/>
        <w:jc w:val="center"/>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第四章</w:t>
      </w:r>
      <w:r>
        <w:rPr>
          <w:rFonts w:ascii="Times New Roman" w:hAnsi="Times New Roman" w:eastAsia="黑体" w:cs="Times New Roman"/>
          <w:sz w:val="32"/>
          <w:szCs w:val="32"/>
          <w:highlight w:val="none"/>
        </w:rPr>
        <w:t xml:space="preserve"> </w:t>
      </w:r>
      <w:r>
        <w:rPr>
          <w:rFonts w:hint="eastAsia" w:ascii="Times New Roman" w:hAnsi="Times New Roman" w:eastAsia="黑体" w:cs="Times New Roman"/>
          <w:sz w:val="32"/>
          <w:szCs w:val="32"/>
          <w:highlight w:val="none"/>
        </w:rPr>
        <w:t>投资管理人</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第二十条</w:t>
      </w:r>
      <w:r>
        <w:rPr>
          <w:rFonts w:hint="eastAsia" w:ascii="Times New Roman" w:hAnsi="Times New Roman" w:eastAsia="仿宋_GB2312" w:cs="Times New Roman"/>
          <w:sz w:val="32"/>
          <w:szCs w:val="32"/>
          <w:highlight w:val="none"/>
        </w:rPr>
        <w:t xml:space="preserve"> 本办法所称投资管理人是指受社保基金会委托，根据投资</w:t>
      </w:r>
      <w:r>
        <w:rPr>
          <w:rFonts w:hint="eastAsia" w:ascii="Times New Roman" w:hAnsi="Times New Roman" w:eastAsia="仿宋_GB2312" w:cs="Times New Roman"/>
          <w:sz w:val="32"/>
          <w:szCs w:val="32"/>
          <w:highlight w:val="none"/>
          <w:lang w:eastAsia="zh-CN"/>
        </w:rPr>
        <w:t>管理</w:t>
      </w:r>
      <w:r>
        <w:rPr>
          <w:rFonts w:hint="eastAsia" w:ascii="Times New Roman" w:hAnsi="Times New Roman" w:eastAsia="仿宋_GB2312" w:cs="Times New Roman"/>
          <w:sz w:val="32"/>
          <w:szCs w:val="32"/>
          <w:highlight w:val="none"/>
        </w:rPr>
        <w:t>合同受托运</w:t>
      </w:r>
      <w:r>
        <w:rPr>
          <w:rFonts w:hint="eastAsia" w:ascii="Times New Roman" w:hAnsi="Times New Roman" w:eastAsia="仿宋_GB2312" w:cs="Times New Roman"/>
          <w:sz w:val="32"/>
          <w:szCs w:val="32"/>
          <w:highlight w:val="none"/>
          <w:lang w:eastAsia="zh-CN"/>
        </w:rPr>
        <w:t>营</w:t>
      </w:r>
      <w:r>
        <w:rPr>
          <w:rFonts w:hint="eastAsia" w:ascii="Times New Roman" w:hAnsi="Times New Roman" w:eastAsia="仿宋_GB2312" w:cs="Times New Roman"/>
          <w:sz w:val="32"/>
          <w:szCs w:val="32"/>
          <w:highlight w:val="none"/>
        </w:rPr>
        <w:t>和管理全国社保基金的专业机构。投资管理人应当具有良好的资产管理业绩、财务状况和社会信誉，建立良好的内部治理结构，健全内部控制机制和风险管理制度。</w:t>
      </w:r>
    </w:p>
    <w:p>
      <w:pPr>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第二十</w:t>
      </w:r>
      <w:r>
        <w:rPr>
          <w:rFonts w:hint="eastAsia" w:ascii="Times New Roman" w:hAnsi="Times New Roman" w:eastAsia="黑体" w:cs="Times New Roman"/>
          <w:color w:val="000000"/>
          <w:sz w:val="32"/>
          <w:szCs w:val="28"/>
          <w:highlight w:val="none"/>
          <w:lang w:eastAsia="zh-CN"/>
        </w:rPr>
        <w:t>一</w:t>
      </w:r>
      <w:r>
        <w:rPr>
          <w:rFonts w:hint="eastAsia" w:ascii="Times New Roman" w:hAnsi="Times New Roman" w:eastAsia="黑体" w:cs="Times New Roman"/>
          <w:color w:val="000000"/>
          <w:sz w:val="32"/>
          <w:szCs w:val="28"/>
          <w:highlight w:val="none"/>
        </w:rPr>
        <w:t>条</w:t>
      </w:r>
      <w:r>
        <w:rPr>
          <w:rFonts w:hint="eastAsia" w:ascii="Times New Roman" w:hAnsi="Times New Roman" w:eastAsia="仿宋_GB2312" w:cs="Times New Roman"/>
          <w:sz w:val="32"/>
          <w:szCs w:val="32"/>
          <w:highlight w:val="none"/>
        </w:rPr>
        <w:t xml:space="preserve"> 投资管理人由社保基金会确定。申请</w:t>
      </w:r>
      <w:r>
        <w:rPr>
          <w:rFonts w:hint="eastAsia" w:ascii="Times New Roman" w:hAnsi="Times New Roman" w:eastAsia="仿宋_GB2312" w:cs="Times New Roman"/>
          <w:sz w:val="32"/>
          <w:szCs w:val="32"/>
          <w:highlight w:val="none"/>
          <w:lang w:eastAsia="zh-CN"/>
        </w:rPr>
        <w:t>全国</w:t>
      </w:r>
      <w:r>
        <w:rPr>
          <w:rFonts w:hint="eastAsia" w:ascii="Times New Roman" w:hAnsi="Times New Roman" w:eastAsia="仿宋_GB2312" w:cs="Times New Roman"/>
          <w:sz w:val="32"/>
          <w:szCs w:val="32"/>
          <w:highlight w:val="none"/>
        </w:rPr>
        <w:t>社保基金投资管理业务，需向</w:t>
      </w:r>
      <w:r>
        <w:rPr>
          <w:rFonts w:hint="eastAsia" w:ascii="Times New Roman" w:hAnsi="Times New Roman" w:eastAsia="仿宋_GB2312" w:cs="Times New Roman"/>
          <w:sz w:val="32"/>
          <w:szCs w:val="32"/>
          <w:highlight w:val="none"/>
          <w:lang w:eastAsia="zh-CN"/>
        </w:rPr>
        <w:t>社保基金</w:t>
      </w:r>
      <w:r>
        <w:rPr>
          <w:rFonts w:hint="eastAsia" w:ascii="Times New Roman" w:hAnsi="Times New Roman" w:eastAsia="仿宋_GB2312" w:cs="Times New Roman"/>
          <w:sz w:val="32"/>
          <w:szCs w:val="32"/>
          <w:highlight w:val="none"/>
        </w:rPr>
        <w:t>会提交申请书</w:t>
      </w:r>
      <w:r>
        <w:rPr>
          <w:rFonts w:hint="eastAsia" w:ascii="Times New Roman" w:hAnsi="Times New Roman" w:eastAsia="仿宋_GB2312" w:cs="Times New Roman"/>
          <w:sz w:val="32"/>
          <w:szCs w:val="32"/>
          <w:highlight w:val="none"/>
          <w:lang w:eastAsia="zh-CN"/>
        </w:rPr>
        <w:t>。社保基金会</w:t>
      </w:r>
      <w:r>
        <w:rPr>
          <w:rFonts w:hint="eastAsia" w:ascii="Times New Roman" w:hAnsi="Times New Roman" w:eastAsia="仿宋_GB2312" w:cs="Times New Roman"/>
          <w:sz w:val="32"/>
          <w:szCs w:val="32"/>
          <w:highlight w:val="none"/>
        </w:rPr>
        <w:t>成立包括足够数量的独立人士参加的专家评审委员会，参照政府采购管理制度对具备条件的</w:t>
      </w:r>
      <w:r>
        <w:rPr>
          <w:rFonts w:hint="eastAsia" w:ascii="Times New Roman" w:hAnsi="Times New Roman" w:eastAsia="仿宋_GB2312" w:cs="Times New Roman"/>
          <w:sz w:val="32"/>
          <w:szCs w:val="32"/>
          <w:highlight w:val="none"/>
          <w:lang w:eastAsia="zh-CN"/>
        </w:rPr>
        <w:t>全国</w:t>
      </w:r>
      <w:r>
        <w:rPr>
          <w:rFonts w:hint="eastAsia" w:ascii="Times New Roman" w:hAnsi="Times New Roman" w:eastAsia="仿宋_GB2312" w:cs="Times New Roman"/>
          <w:sz w:val="32"/>
          <w:szCs w:val="32"/>
          <w:highlight w:val="none"/>
        </w:rPr>
        <w:t>社保基金投资管理业务申请人进行评审。评审委员会经投票提出</w:t>
      </w:r>
      <w:r>
        <w:rPr>
          <w:rFonts w:hint="eastAsia" w:ascii="Times New Roman" w:hAnsi="Times New Roman" w:eastAsia="仿宋_GB2312" w:cs="Times New Roman"/>
          <w:sz w:val="32"/>
          <w:szCs w:val="32"/>
          <w:highlight w:val="none"/>
          <w:lang w:eastAsia="zh-CN"/>
        </w:rPr>
        <w:t>全国</w:t>
      </w:r>
      <w:r>
        <w:rPr>
          <w:rFonts w:hint="eastAsia" w:ascii="Times New Roman" w:hAnsi="Times New Roman" w:eastAsia="仿宋_GB2312" w:cs="Times New Roman"/>
          <w:sz w:val="32"/>
          <w:szCs w:val="32"/>
          <w:highlight w:val="none"/>
        </w:rPr>
        <w:t>社保基金投资管理人建议名单，报</w:t>
      </w:r>
      <w:r>
        <w:rPr>
          <w:rFonts w:hint="eastAsia" w:ascii="Times New Roman" w:hAnsi="Times New Roman" w:eastAsia="仿宋_GB2312" w:cs="Times New Roman"/>
          <w:sz w:val="32"/>
          <w:szCs w:val="32"/>
          <w:highlight w:val="none"/>
          <w:lang w:eastAsia="zh-CN"/>
        </w:rPr>
        <w:t>社保基金</w:t>
      </w:r>
      <w:r>
        <w:rPr>
          <w:rFonts w:hint="eastAsia" w:ascii="Times New Roman" w:hAnsi="Times New Roman" w:eastAsia="仿宋_GB2312" w:cs="Times New Roman"/>
          <w:sz w:val="32"/>
          <w:szCs w:val="32"/>
          <w:highlight w:val="none"/>
        </w:rPr>
        <w:t>会确定。</w:t>
      </w:r>
      <w:r>
        <w:rPr>
          <w:rFonts w:hint="eastAsia" w:ascii="Times New Roman" w:hAnsi="Times New Roman" w:eastAsia="仿宋_GB2312" w:cs="Times New Roman"/>
          <w:sz w:val="32"/>
          <w:szCs w:val="32"/>
          <w:highlight w:val="none"/>
          <w:lang w:eastAsia="zh-CN"/>
        </w:rPr>
        <w:t>选聘办法由</w:t>
      </w:r>
      <w:r>
        <w:rPr>
          <w:rFonts w:hint="eastAsia" w:ascii="Times New Roman" w:hAnsi="Times New Roman" w:eastAsia="仿宋_GB2312" w:cs="Times New Roman"/>
          <w:sz w:val="32"/>
          <w:szCs w:val="32"/>
          <w:highlight w:val="none"/>
        </w:rPr>
        <w:t>社保基金会制定。</w:t>
      </w:r>
      <w:r>
        <w:rPr>
          <w:rFonts w:hint="eastAsia" w:ascii="Times New Roman" w:hAnsi="Times New Roman" w:eastAsia="仿宋_GB2312" w:cs="Times New Roman"/>
          <w:sz w:val="32"/>
          <w:szCs w:val="32"/>
          <w:highlight w:val="none"/>
          <w:lang w:eastAsia="zh-CN"/>
        </w:rPr>
        <w:t>选聘</w:t>
      </w:r>
      <w:r>
        <w:rPr>
          <w:rFonts w:hint="eastAsia" w:ascii="Times New Roman" w:hAnsi="Times New Roman" w:eastAsia="仿宋_GB2312" w:cs="Times New Roman"/>
          <w:sz w:val="32"/>
          <w:szCs w:val="32"/>
          <w:highlight w:val="none"/>
        </w:rPr>
        <w:t>办法及</w:t>
      </w:r>
      <w:r>
        <w:rPr>
          <w:rFonts w:hint="eastAsia" w:ascii="Times New Roman" w:hAnsi="Times New Roman" w:eastAsia="仿宋_GB2312" w:cs="Times New Roman"/>
          <w:sz w:val="32"/>
          <w:szCs w:val="32"/>
          <w:highlight w:val="none"/>
          <w:lang w:eastAsia="zh-CN"/>
        </w:rPr>
        <w:t>选聘</w:t>
      </w:r>
      <w:r>
        <w:rPr>
          <w:rFonts w:hint="eastAsia" w:ascii="Times New Roman" w:hAnsi="Times New Roman" w:eastAsia="仿宋_GB2312" w:cs="Times New Roman"/>
          <w:sz w:val="32"/>
          <w:szCs w:val="32"/>
          <w:highlight w:val="none"/>
        </w:rPr>
        <w:t>结果报</w:t>
      </w:r>
      <w:r>
        <w:rPr>
          <w:rFonts w:hint="eastAsia" w:ascii="Times New Roman" w:hAnsi="Times New Roman" w:eastAsia="仿宋_GB2312" w:cs="Times New Roman"/>
          <w:sz w:val="32"/>
          <w:szCs w:val="32"/>
          <w:highlight w:val="none"/>
          <w:lang w:eastAsia="zh-CN"/>
        </w:rPr>
        <w:t>财政部、人力资源社会保障部和相关金融监管机构</w:t>
      </w:r>
      <w:r>
        <w:rPr>
          <w:rFonts w:hint="eastAsia" w:ascii="Times New Roman" w:hAnsi="Times New Roman" w:eastAsia="仿宋_GB2312" w:cs="Times New Roman"/>
          <w:sz w:val="32"/>
          <w:szCs w:val="32"/>
          <w:highlight w:val="none"/>
        </w:rPr>
        <w:t>备案。</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第二十</w:t>
      </w:r>
      <w:r>
        <w:rPr>
          <w:rFonts w:hint="eastAsia" w:ascii="Times New Roman" w:hAnsi="Times New Roman" w:eastAsia="黑体" w:cs="Times New Roman"/>
          <w:color w:val="000000"/>
          <w:sz w:val="32"/>
          <w:szCs w:val="28"/>
          <w:highlight w:val="none"/>
          <w:lang w:eastAsia="zh-CN"/>
        </w:rPr>
        <w:t>二</w:t>
      </w:r>
      <w:r>
        <w:rPr>
          <w:rFonts w:hint="eastAsia" w:ascii="Times New Roman" w:hAnsi="Times New Roman" w:eastAsia="黑体" w:cs="Times New Roman"/>
          <w:color w:val="000000"/>
          <w:sz w:val="32"/>
          <w:szCs w:val="28"/>
          <w:highlight w:val="none"/>
        </w:rPr>
        <w:t>条</w:t>
      </w:r>
      <w:r>
        <w:rPr>
          <w:rFonts w:hint="eastAsia" w:ascii="Times New Roman" w:hAnsi="Times New Roman" w:eastAsia="仿宋_GB2312" w:cs="Times New Roman"/>
          <w:sz w:val="32"/>
          <w:szCs w:val="32"/>
          <w:highlight w:val="none"/>
        </w:rPr>
        <w:t xml:space="preserve"> 全国社保基金投资管理人应</w:t>
      </w:r>
      <w:r>
        <w:rPr>
          <w:rFonts w:hint="eastAsia" w:ascii="Times New Roman" w:hAnsi="Times New Roman" w:eastAsia="仿宋_GB2312" w:cs="Times New Roman"/>
          <w:sz w:val="32"/>
          <w:szCs w:val="32"/>
          <w:highlight w:val="none"/>
          <w:lang w:eastAsia="zh-CN"/>
        </w:rPr>
        <w:t>当</w:t>
      </w:r>
      <w:r>
        <w:rPr>
          <w:rFonts w:hint="eastAsia" w:ascii="Times New Roman" w:hAnsi="Times New Roman" w:eastAsia="仿宋_GB2312" w:cs="Times New Roman"/>
          <w:sz w:val="32"/>
          <w:szCs w:val="32"/>
          <w:highlight w:val="none"/>
        </w:rPr>
        <w:t>具备以下条件：</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（一）在中国境内注册，经</w:t>
      </w:r>
      <w:r>
        <w:rPr>
          <w:rFonts w:hint="eastAsia" w:ascii="Times New Roman" w:hAnsi="Times New Roman" w:eastAsia="仿宋_GB2312" w:cs="Times New Roman"/>
          <w:sz w:val="32"/>
          <w:szCs w:val="32"/>
          <w:highlight w:val="none"/>
          <w:lang w:eastAsia="zh-CN"/>
        </w:rPr>
        <w:t>金融</w:t>
      </w:r>
      <w:r>
        <w:rPr>
          <w:rFonts w:hint="eastAsia" w:ascii="Times New Roman" w:hAnsi="Times New Roman" w:eastAsia="仿宋_GB2312" w:cs="Times New Roman"/>
          <w:sz w:val="32"/>
          <w:szCs w:val="32"/>
          <w:highlight w:val="none"/>
        </w:rPr>
        <w:t>监管</w:t>
      </w:r>
      <w:r>
        <w:rPr>
          <w:rFonts w:hint="eastAsia" w:ascii="Times New Roman" w:hAnsi="Times New Roman" w:eastAsia="仿宋_GB2312" w:cs="Times New Roman"/>
          <w:sz w:val="32"/>
          <w:szCs w:val="32"/>
          <w:highlight w:val="none"/>
          <w:lang w:eastAsia="zh-CN"/>
        </w:rPr>
        <w:t>机构</w:t>
      </w:r>
      <w:r>
        <w:rPr>
          <w:rFonts w:hint="eastAsia" w:ascii="Times New Roman" w:hAnsi="Times New Roman" w:eastAsia="仿宋_GB2312" w:cs="Times New Roman"/>
          <w:sz w:val="32"/>
          <w:szCs w:val="32"/>
          <w:highlight w:val="none"/>
        </w:rPr>
        <w:t>批准设立，具有基金管理、资产管理等资格的独立法人；</w:t>
      </w:r>
    </w:p>
    <w:p>
      <w:pPr>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（二）实收资本不少于</w:t>
      </w:r>
      <w:r>
        <w:rPr>
          <w:rFonts w:hint="eastAsia" w:ascii="Times New Roman" w:hAnsi="Times New Roman" w:eastAsia="仿宋_GB2312" w:cs="Times New Roman"/>
          <w:sz w:val="32"/>
          <w:szCs w:val="32"/>
          <w:highlight w:val="none"/>
          <w:lang w:val="en-US" w:eastAsia="zh-CN"/>
        </w:rPr>
        <w:t>1亿</w:t>
      </w:r>
      <w:r>
        <w:rPr>
          <w:rFonts w:hint="eastAsia" w:ascii="Times New Roman" w:hAnsi="Times New Roman" w:eastAsia="仿宋_GB2312" w:cs="Times New Roman"/>
          <w:sz w:val="32"/>
          <w:szCs w:val="32"/>
          <w:highlight w:val="none"/>
        </w:rPr>
        <w:t>元人民币，净资产不少于5</w:t>
      </w:r>
      <w:r>
        <w:rPr>
          <w:rFonts w:hint="eastAsia" w:ascii="Times New Roman" w:hAnsi="Times New Roman" w:eastAsia="仿宋_GB2312" w:cs="Times New Roman"/>
          <w:sz w:val="32"/>
          <w:szCs w:val="32"/>
          <w:highlight w:val="none"/>
          <w:lang w:eastAsia="zh-CN"/>
        </w:rPr>
        <w:t>亿</w:t>
      </w:r>
      <w:r>
        <w:rPr>
          <w:rFonts w:hint="eastAsia" w:ascii="Times New Roman" w:hAnsi="Times New Roman" w:eastAsia="仿宋_GB2312" w:cs="Times New Roman"/>
          <w:sz w:val="32"/>
          <w:szCs w:val="32"/>
          <w:highlight w:val="none"/>
        </w:rPr>
        <w:t>元</w:t>
      </w:r>
      <w:r>
        <w:rPr>
          <w:rFonts w:hint="eastAsia" w:ascii="Times New Roman" w:hAnsi="Times New Roman" w:eastAsia="仿宋_GB2312" w:cs="Times New Roman"/>
          <w:sz w:val="32"/>
          <w:szCs w:val="32"/>
          <w:highlight w:val="none"/>
          <w:lang w:eastAsia="zh-CN"/>
        </w:rPr>
        <w:t>人民币；</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（三）</w:t>
      </w:r>
      <w:r>
        <w:rPr>
          <w:rFonts w:hint="eastAsia" w:ascii="Times New Roman" w:hAnsi="Times New Roman" w:eastAsia="仿宋_GB2312" w:cs="Times New Roman"/>
          <w:sz w:val="32"/>
          <w:szCs w:val="32"/>
          <w:highlight w:val="none"/>
        </w:rPr>
        <w:t>具有</w:t>
      </w:r>
      <w:r>
        <w:rPr>
          <w:rFonts w:ascii="Times New Roman" w:hAnsi="Times New Roman" w:eastAsia="仿宋_GB2312" w:cs="Times New Roman"/>
          <w:sz w:val="32"/>
          <w:szCs w:val="32"/>
          <w:highlight w:val="none"/>
        </w:rPr>
        <w:t>5</w:t>
      </w:r>
      <w:r>
        <w:rPr>
          <w:rFonts w:hint="eastAsia" w:ascii="Times New Roman" w:hAnsi="Times New Roman" w:eastAsia="仿宋_GB2312" w:cs="Times New Roman"/>
          <w:sz w:val="32"/>
          <w:szCs w:val="32"/>
          <w:highlight w:val="none"/>
        </w:rPr>
        <w:t>年以上在中国境内从事证券投资管理业务的经验，且管理审慎，经营规范，信誉较高；</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四</w:t>
      </w:r>
      <w:r>
        <w:rPr>
          <w:rFonts w:hint="eastAsia" w:ascii="Times New Roman" w:hAnsi="Times New Roman" w:eastAsia="仿宋_GB2312" w:cs="Times New Roman"/>
          <w:sz w:val="32"/>
          <w:szCs w:val="32"/>
          <w:highlight w:val="none"/>
        </w:rPr>
        <w:t>）具有完善的法人治理结构、风险管理制度和内部控制机制，最近</w:t>
      </w:r>
      <w:r>
        <w:rPr>
          <w:rFonts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rPr>
        <w:t>年没有重大的违法违规行为，未受到</w:t>
      </w:r>
      <w:r>
        <w:rPr>
          <w:rFonts w:hint="eastAsia" w:ascii="Times New Roman" w:hAnsi="Times New Roman" w:eastAsia="仿宋_GB2312" w:cs="Times New Roman"/>
          <w:sz w:val="32"/>
          <w:szCs w:val="32"/>
          <w:highlight w:val="none"/>
          <w:lang w:eastAsia="zh-CN"/>
        </w:rPr>
        <w:t>金融</w:t>
      </w:r>
      <w:r>
        <w:rPr>
          <w:rFonts w:hint="eastAsia" w:ascii="Times New Roman" w:hAnsi="Times New Roman" w:eastAsia="仿宋_GB2312" w:cs="Times New Roman"/>
          <w:sz w:val="32"/>
          <w:szCs w:val="32"/>
          <w:highlight w:val="none"/>
        </w:rPr>
        <w:t>监管</w:t>
      </w:r>
      <w:r>
        <w:rPr>
          <w:rFonts w:hint="eastAsia" w:ascii="Times New Roman" w:hAnsi="Times New Roman" w:eastAsia="仿宋_GB2312" w:cs="Times New Roman"/>
          <w:sz w:val="32"/>
          <w:szCs w:val="32"/>
          <w:highlight w:val="none"/>
          <w:lang w:eastAsia="zh-CN"/>
        </w:rPr>
        <w:t>机构</w:t>
      </w:r>
      <w:r>
        <w:rPr>
          <w:rFonts w:hint="eastAsia" w:ascii="Times New Roman" w:hAnsi="Times New Roman" w:eastAsia="仿宋_GB2312" w:cs="Times New Roman"/>
          <w:sz w:val="32"/>
          <w:szCs w:val="32"/>
          <w:highlight w:val="none"/>
        </w:rPr>
        <w:t>的重大处罚。</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第二十</w:t>
      </w:r>
      <w:r>
        <w:rPr>
          <w:rFonts w:hint="eastAsia" w:ascii="Times New Roman" w:hAnsi="Times New Roman" w:eastAsia="黑体" w:cs="Times New Roman"/>
          <w:color w:val="000000"/>
          <w:sz w:val="32"/>
          <w:szCs w:val="28"/>
          <w:highlight w:val="none"/>
          <w:lang w:eastAsia="zh-CN"/>
        </w:rPr>
        <w:t>三</w:t>
      </w:r>
      <w:r>
        <w:rPr>
          <w:rFonts w:hint="eastAsia" w:ascii="Times New Roman" w:hAnsi="Times New Roman" w:eastAsia="黑体" w:cs="Times New Roman"/>
          <w:color w:val="000000"/>
          <w:sz w:val="32"/>
          <w:szCs w:val="28"/>
          <w:highlight w:val="none"/>
        </w:rPr>
        <w:t>条</w:t>
      </w:r>
      <w:r>
        <w:rPr>
          <w:rFonts w:hint="eastAsia" w:ascii="Times New Roman" w:hAnsi="Times New Roman" w:eastAsia="仿宋_GB2312" w:cs="Times New Roman"/>
          <w:sz w:val="32"/>
          <w:szCs w:val="32"/>
          <w:highlight w:val="none"/>
        </w:rPr>
        <w:t xml:space="preserve"> 投资管理人履行下列职责：</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（一）秉持审慎原则，诚实信用、勤勉尽责地对委托资产进行投资运营及管理；</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（二）按照规定提取全国社保基金投资管理风险准备金；</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（三）向社保基金会报告有关情况；</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（四）接受社保基金会的监督检查；</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（五）根据法律、行政法规规定及</w:t>
      </w:r>
      <w:r>
        <w:rPr>
          <w:rFonts w:hint="eastAsia" w:ascii="Times New Roman" w:hAnsi="Times New Roman" w:eastAsia="仿宋_GB2312" w:cs="Times New Roman"/>
          <w:sz w:val="32"/>
          <w:szCs w:val="32"/>
          <w:highlight w:val="none"/>
        </w:rPr>
        <w:t>投资</w:t>
      </w:r>
      <w:r>
        <w:rPr>
          <w:rFonts w:hint="eastAsia" w:ascii="Times New Roman" w:hAnsi="Times New Roman" w:eastAsia="仿宋_GB2312" w:cs="Times New Roman"/>
          <w:sz w:val="32"/>
          <w:szCs w:val="32"/>
          <w:highlight w:val="none"/>
          <w:lang w:eastAsia="zh-CN"/>
        </w:rPr>
        <w:t>管理</w:t>
      </w:r>
      <w:r>
        <w:rPr>
          <w:rFonts w:hint="eastAsia" w:ascii="Times New Roman" w:hAnsi="Times New Roman" w:eastAsia="仿宋_GB2312" w:cs="Times New Roman"/>
          <w:sz w:val="32"/>
          <w:szCs w:val="32"/>
          <w:highlight w:val="none"/>
        </w:rPr>
        <w:t>合同</w:t>
      </w:r>
      <w:r>
        <w:rPr>
          <w:rFonts w:hint="eastAsia" w:ascii="Times New Roman" w:hAnsi="Times New Roman" w:eastAsia="仿宋_GB2312" w:cs="Times New Roman"/>
          <w:sz w:val="32"/>
          <w:szCs w:val="32"/>
          <w:highlight w:val="none"/>
        </w:rPr>
        <w:t>约定，接受托管人的监督；</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（六）按照投资</w:t>
      </w:r>
      <w:r>
        <w:rPr>
          <w:rFonts w:hint="eastAsia" w:ascii="Times New Roman" w:hAnsi="Times New Roman" w:eastAsia="仿宋_GB2312" w:cs="Times New Roman"/>
          <w:sz w:val="32"/>
          <w:szCs w:val="32"/>
          <w:highlight w:val="none"/>
          <w:lang w:eastAsia="zh-CN"/>
        </w:rPr>
        <w:t>管理</w:t>
      </w:r>
      <w:r>
        <w:rPr>
          <w:rFonts w:hint="eastAsia" w:ascii="Times New Roman" w:hAnsi="Times New Roman" w:eastAsia="仿宋_GB2312" w:cs="Times New Roman"/>
          <w:sz w:val="32"/>
          <w:szCs w:val="32"/>
          <w:highlight w:val="none"/>
        </w:rPr>
        <w:t>合同有关约定，保存与委托资产有关的档案资料</w:t>
      </w:r>
      <w:r>
        <w:rPr>
          <w:rFonts w:ascii="Times New Roman" w:hAnsi="Times New Roman" w:eastAsia="仿宋_GB2312" w:cs="Times New Roman"/>
          <w:sz w:val="32"/>
          <w:szCs w:val="32"/>
          <w:highlight w:val="none"/>
        </w:rPr>
        <w:t>15</w:t>
      </w:r>
      <w:r>
        <w:rPr>
          <w:rFonts w:hint="eastAsia" w:ascii="Times New Roman" w:hAnsi="Times New Roman" w:eastAsia="仿宋_GB2312" w:cs="Times New Roman"/>
          <w:sz w:val="32"/>
          <w:szCs w:val="32"/>
          <w:highlight w:val="none"/>
        </w:rPr>
        <w:t>年以上；</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（七）法律、行政法规、部门规章规定及投资</w:t>
      </w:r>
      <w:r>
        <w:rPr>
          <w:rFonts w:hint="eastAsia" w:ascii="Times New Roman" w:hAnsi="Times New Roman" w:eastAsia="仿宋_GB2312" w:cs="Times New Roman"/>
          <w:sz w:val="32"/>
          <w:szCs w:val="32"/>
          <w:highlight w:val="none"/>
          <w:lang w:eastAsia="zh-CN"/>
        </w:rPr>
        <w:t>管理</w:t>
      </w:r>
      <w:r>
        <w:rPr>
          <w:rFonts w:hint="eastAsia" w:ascii="Times New Roman" w:hAnsi="Times New Roman" w:eastAsia="仿宋_GB2312" w:cs="Times New Roman"/>
          <w:sz w:val="32"/>
          <w:szCs w:val="32"/>
          <w:highlight w:val="none"/>
        </w:rPr>
        <w:t>合同约定的其他职责。</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第二十</w:t>
      </w:r>
      <w:r>
        <w:rPr>
          <w:rFonts w:hint="eastAsia" w:ascii="Times New Roman" w:hAnsi="Times New Roman" w:eastAsia="黑体" w:cs="Times New Roman"/>
          <w:color w:val="000000"/>
          <w:sz w:val="32"/>
          <w:szCs w:val="28"/>
          <w:highlight w:val="none"/>
          <w:lang w:eastAsia="zh-CN"/>
        </w:rPr>
        <w:t>四</w:t>
      </w:r>
      <w:r>
        <w:rPr>
          <w:rFonts w:hint="eastAsia" w:ascii="Times New Roman" w:hAnsi="Times New Roman" w:eastAsia="黑体" w:cs="Times New Roman"/>
          <w:color w:val="000000"/>
          <w:sz w:val="32"/>
          <w:szCs w:val="28"/>
          <w:highlight w:val="none"/>
        </w:rPr>
        <w:t>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有下列情形之一的，投资管理人应当及时向社保基金会报告：</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（一）全国社保基金资产市场价值大幅度波动；</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（二）投资管理人减资、合并、分立、解散、依法被撤销、决定申请破产或被申请破产、被决定接管；</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（三）投资管理人涉及重大诉讼或者仲裁；</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（四）投资管理人的董事、监事、</w:t>
      </w:r>
      <w:r>
        <w:rPr>
          <w:rFonts w:hint="eastAsia" w:ascii="Times New Roman" w:hAnsi="Times New Roman" w:eastAsia="仿宋_GB2312" w:cs="Times New Roman"/>
          <w:sz w:val="32"/>
          <w:szCs w:val="32"/>
          <w:highlight w:val="none"/>
          <w:lang w:eastAsia="zh-CN"/>
        </w:rPr>
        <w:t>总</w:t>
      </w:r>
      <w:r>
        <w:rPr>
          <w:rFonts w:hint="eastAsia" w:ascii="Times New Roman" w:hAnsi="Times New Roman" w:eastAsia="仿宋_GB2312" w:cs="Times New Roman"/>
          <w:sz w:val="32"/>
          <w:szCs w:val="32"/>
          <w:highlight w:val="none"/>
        </w:rPr>
        <w:t>经理或其他高级管理人员发生重大变动；</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（五）投资管理人发生了重大经营风险；</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（六）有可能使全国社保基金委托资产的管理及价值受到重大影响的其他事项；</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（七）投资</w:t>
      </w:r>
      <w:r>
        <w:rPr>
          <w:rFonts w:hint="eastAsia" w:ascii="Times New Roman" w:hAnsi="Times New Roman" w:eastAsia="仿宋_GB2312" w:cs="Times New Roman"/>
          <w:sz w:val="32"/>
          <w:szCs w:val="32"/>
          <w:highlight w:val="none"/>
          <w:lang w:eastAsia="zh-CN"/>
        </w:rPr>
        <w:t>管理</w:t>
      </w:r>
      <w:r>
        <w:rPr>
          <w:rFonts w:hint="eastAsia" w:ascii="Times New Roman" w:hAnsi="Times New Roman" w:eastAsia="仿宋_GB2312" w:cs="Times New Roman"/>
          <w:sz w:val="32"/>
          <w:szCs w:val="32"/>
          <w:highlight w:val="none"/>
        </w:rPr>
        <w:t>合同约定的其他报告事项。</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第二十</w:t>
      </w:r>
      <w:r>
        <w:rPr>
          <w:rFonts w:hint="eastAsia" w:ascii="Times New Roman" w:hAnsi="Times New Roman" w:eastAsia="黑体" w:cs="Times New Roman"/>
          <w:color w:val="000000"/>
          <w:sz w:val="32"/>
          <w:szCs w:val="28"/>
          <w:highlight w:val="none"/>
          <w:lang w:eastAsia="zh-CN"/>
        </w:rPr>
        <w:t>五</w:t>
      </w:r>
      <w:r>
        <w:rPr>
          <w:rFonts w:hint="eastAsia" w:ascii="Times New Roman" w:hAnsi="Times New Roman" w:eastAsia="黑体" w:cs="Times New Roman"/>
          <w:color w:val="000000"/>
          <w:sz w:val="32"/>
          <w:szCs w:val="28"/>
          <w:highlight w:val="none"/>
        </w:rPr>
        <w:t>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有下列情形之一的，投资管理人应当退任：</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（一）解散、依法被撤销、破产或者由接管人接管其资产；</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（二）社保基金会有充分理由认为更换投资管理人符合全国社保基金利益；</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（三）托管人有充分理由认为更换投资管理人符合全国社保基金利益并征得社保基金会同意；</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（四）</w:t>
      </w:r>
      <w:r>
        <w:rPr>
          <w:rFonts w:hint="eastAsia" w:ascii="Times New Roman" w:hAnsi="Times New Roman" w:eastAsia="仿宋_GB2312" w:cs="Times New Roman"/>
          <w:sz w:val="32"/>
          <w:szCs w:val="32"/>
          <w:highlight w:val="none"/>
          <w:lang w:eastAsia="zh-CN"/>
        </w:rPr>
        <w:t>财政部、人力资源社会保障部</w:t>
      </w:r>
      <w:r>
        <w:rPr>
          <w:rFonts w:hint="eastAsia" w:ascii="Times New Roman" w:hAnsi="Times New Roman" w:eastAsia="仿宋_GB2312" w:cs="Times New Roman"/>
          <w:sz w:val="32"/>
          <w:szCs w:val="32"/>
          <w:highlight w:val="none"/>
        </w:rPr>
        <w:t>或</w:t>
      </w:r>
      <w:r>
        <w:rPr>
          <w:rFonts w:hint="eastAsia" w:ascii="Times New Roman" w:hAnsi="Times New Roman" w:eastAsia="仿宋_GB2312" w:cs="Times New Roman"/>
          <w:sz w:val="32"/>
          <w:szCs w:val="32"/>
          <w:highlight w:val="none"/>
          <w:lang w:eastAsia="zh-CN"/>
        </w:rPr>
        <w:t>金融监管机构</w:t>
      </w:r>
      <w:r>
        <w:rPr>
          <w:rFonts w:hint="eastAsia" w:ascii="Times New Roman" w:hAnsi="Times New Roman" w:eastAsia="仿宋_GB2312" w:cs="Times New Roman"/>
          <w:sz w:val="32"/>
          <w:szCs w:val="32"/>
          <w:highlight w:val="none"/>
        </w:rPr>
        <w:t>有充分理由认为投资管理人不能继续履行委托资产管理职责；</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（五）违反本办法或投资</w:t>
      </w:r>
      <w:r>
        <w:rPr>
          <w:rFonts w:hint="eastAsia" w:ascii="Times New Roman" w:hAnsi="Times New Roman" w:eastAsia="仿宋_GB2312" w:cs="Times New Roman"/>
          <w:sz w:val="32"/>
          <w:szCs w:val="32"/>
          <w:highlight w:val="none"/>
          <w:lang w:eastAsia="zh-CN"/>
        </w:rPr>
        <w:t>管理</w:t>
      </w:r>
      <w:r>
        <w:rPr>
          <w:rFonts w:hint="eastAsia" w:ascii="Times New Roman" w:hAnsi="Times New Roman" w:eastAsia="仿宋_GB2312" w:cs="Times New Roman"/>
          <w:sz w:val="32"/>
          <w:szCs w:val="32"/>
          <w:highlight w:val="none"/>
        </w:rPr>
        <w:t>合同约定的其他情形。</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第二十</w:t>
      </w:r>
      <w:r>
        <w:rPr>
          <w:rFonts w:hint="eastAsia" w:ascii="Times New Roman" w:hAnsi="Times New Roman" w:eastAsia="黑体" w:cs="Times New Roman"/>
          <w:color w:val="000000"/>
          <w:sz w:val="32"/>
          <w:szCs w:val="28"/>
          <w:highlight w:val="none"/>
          <w:lang w:eastAsia="zh-CN"/>
        </w:rPr>
        <w:t>六</w:t>
      </w:r>
      <w:r>
        <w:rPr>
          <w:rFonts w:hint="eastAsia" w:ascii="Times New Roman" w:hAnsi="Times New Roman" w:eastAsia="黑体" w:cs="Times New Roman"/>
          <w:color w:val="000000"/>
          <w:sz w:val="32"/>
          <w:szCs w:val="28"/>
          <w:highlight w:val="none"/>
        </w:rPr>
        <w:t>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当投资管理人更换或退任时，社保基金会应当尽快</w:t>
      </w:r>
      <w:r>
        <w:rPr>
          <w:rFonts w:hint="eastAsia" w:ascii="Times New Roman" w:hAnsi="Times New Roman" w:eastAsia="仿宋_GB2312" w:cs="Times New Roman"/>
          <w:sz w:val="32"/>
          <w:szCs w:val="32"/>
          <w:highlight w:val="none"/>
          <w:lang w:eastAsia="zh-CN"/>
        </w:rPr>
        <w:t>聘任</w:t>
      </w:r>
      <w:r>
        <w:rPr>
          <w:rFonts w:hint="eastAsia" w:ascii="Times New Roman" w:hAnsi="Times New Roman" w:eastAsia="仿宋_GB2312" w:cs="Times New Roman"/>
          <w:sz w:val="32"/>
          <w:szCs w:val="32"/>
          <w:highlight w:val="none"/>
        </w:rPr>
        <w:t>新的投资管理人，并报</w:t>
      </w:r>
      <w:r>
        <w:rPr>
          <w:rFonts w:hint="eastAsia" w:ascii="Times New Roman" w:hAnsi="Times New Roman" w:eastAsia="仿宋_GB2312" w:cs="Times New Roman"/>
          <w:sz w:val="32"/>
          <w:szCs w:val="32"/>
          <w:highlight w:val="none"/>
          <w:lang w:eastAsia="zh-CN"/>
        </w:rPr>
        <w:t>财政部、人力资源社会保障部和金融监管机构</w:t>
      </w:r>
      <w:r>
        <w:rPr>
          <w:rFonts w:hint="eastAsia" w:ascii="Times New Roman" w:hAnsi="Times New Roman" w:eastAsia="仿宋_GB2312" w:cs="Times New Roman"/>
          <w:sz w:val="32"/>
          <w:szCs w:val="32"/>
          <w:highlight w:val="none"/>
        </w:rPr>
        <w:t>备案；新任投资管理人确定并履行职责后，原任投资管理人退任。</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第二十</w:t>
      </w:r>
      <w:r>
        <w:rPr>
          <w:rFonts w:hint="eastAsia" w:ascii="Times New Roman" w:hAnsi="Times New Roman" w:eastAsia="黑体" w:cs="Times New Roman"/>
          <w:color w:val="000000"/>
          <w:sz w:val="32"/>
          <w:szCs w:val="28"/>
          <w:highlight w:val="none"/>
          <w:lang w:eastAsia="zh-CN"/>
        </w:rPr>
        <w:t>七</w:t>
      </w:r>
      <w:r>
        <w:rPr>
          <w:rFonts w:hint="eastAsia" w:ascii="Times New Roman" w:hAnsi="Times New Roman" w:eastAsia="黑体" w:cs="Times New Roman"/>
          <w:color w:val="000000"/>
          <w:sz w:val="32"/>
          <w:szCs w:val="28"/>
          <w:highlight w:val="none"/>
        </w:rPr>
        <w:t>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投资管理人不得从事下列活动：</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（一）将全国社保基金</w:t>
      </w:r>
      <w:r>
        <w:rPr>
          <w:rFonts w:hint="eastAsia" w:ascii="Times New Roman" w:hAnsi="Times New Roman" w:eastAsia="仿宋_GB2312" w:cs="Times New Roman"/>
          <w:sz w:val="32"/>
          <w:szCs w:val="32"/>
          <w:highlight w:val="none"/>
          <w:lang w:eastAsia="zh-CN"/>
        </w:rPr>
        <w:t>资</w:t>
      </w:r>
      <w:r>
        <w:rPr>
          <w:rFonts w:hint="eastAsia" w:ascii="Times New Roman" w:hAnsi="Times New Roman" w:eastAsia="仿宋_GB2312" w:cs="Times New Roman"/>
          <w:sz w:val="32"/>
          <w:szCs w:val="32"/>
          <w:highlight w:val="none"/>
        </w:rPr>
        <w:t>产混同于其他</w:t>
      </w:r>
      <w:r>
        <w:rPr>
          <w:rFonts w:hint="eastAsia" w:ascii="Times New Roman" w:hAnsi="Times New Roman" w:eastAsia="仿宋_GB2312" w:cs="Times New Roman"/>
          <w:sz w:val="32"/>
          <w:szCs w:val="32"/>
          <w:highlight w:val="none"/>
          <w:lang w:eastAsia="zh-CN"/>
        </w:rPr>
        <w:t>资</w:t>
      </w:r>
      <w:r>
        <w:rPr>
          <w:rFonts w:hint="eastAsia" w:ascii="Times New Roman" w:hAnsi="Times New Roman" w:eastAsia="仿宋_GB2312" w:cs="Times New Roman"/>
          <w:sz w:val="32"/>
          <w:szCs w:val="32"/>
          <w:highlight w:val="none"/>
        </w:rPr>
        <w:t>产投资；</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（二）泄露因职务便利获取的全国社保基金未公开的信息，利用该信息从事或者明示、暗示他人从事相关交易活动；</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（三）不公平地对待全国社保基金账户的资产；</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（四）挪用、侵占全国社保基金的委托资产；</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（五）从事可能使全国社保基金委托资产承担无限责任的投资；</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（六）法律、行政法规、部门规章规定和投资</w:t>
      </w:r>
      <w:r>
        <w:rPr>
          <w:rFonts w:hint="eastAsia" w:ascii="Times New Roman" w:hAnsi="Times New Roman" w:eastAsia="仿宋_GB2312" w:cs="Times New Roman"/>
          <w:sz w:val="32"/>
          <w:szCs w:val="32"/>
          <w:highlight w:val="none"/>
          <w:lang w:eastAsia="zh-CN"/>
        </w:rPr>
        <w:t>管理</w:t>
      </w:r>
      <w:r>
        <w:rPr>
          <w:rFonts w:hint="eastAsia" w:ascii="Times New Roman" w:hAnsi="Times New Roman" w:eastAsia="仿宋_GB2312" w:cs="Times New Roman"/>
          <w:sz w:val="32"/>
          <w:szCs w:val="32"/>
          <w:highlight w:val="none"/>
        </w:rPr>
        <w:t>合同约定不得从事的其他活动。</w:t>
      </w:r>
    </w:p>
    <w:p>
      <w:pPr>
        <w:spacing w:before="156" w:beforeLines="50" w:after="156" w:afterLines="50" w:line="600" w:lineRule="exact"/>
        <w:jc w:val="center"/>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第五章</w:t>
      </w:r>
      <w:r>
        <w:rPr>
          <w:rFonts w:ascii="Times New Roman" w:hAnsi="Times New Roman" w:eastAsia="黑体" w:cs="Times New Roman"/>
          <w:sz w:val="32"/>
          <w:szCs w:val="32"/>
          <w:highlight w:val="none"/>
        </w:rPr>
        <w:t xml:space="preserve"> </w:t>
      </w:r>
      <w:r>
        <w:rPr>
          <w:rFonts w:hint="eastAsia" w:ascii="Times New Roman" w:hAnsi="Times New Roman" w:eastAsia="黑体" w:cs="Times New Roman"/>
          <w:sz w:val="32"/>
          <w:szCs w:val="32"/>
          <w:highlight w:val="none"/>
        </w:rPr>
        <w:t>托管人</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w:t>
      </w:r>
      <w:r>
        <w:rPr>
          <w:rFonts w:hint="eastAsia" w:ascii="Times New Roman" w:hAnsi="Times New Roman" w:eastAsia="黑体" w:cs="Times New Roman"/>
          <w:color w:val="000000"/>
          <w:sz w:val="32"/>
          <w:szCs w:val="28"/>
          <w:highlight w:val="none"/>
          <w:lang w:eastAsia="zh-CN"/>
        </w:rPr>
        <w:t>二十八</w:t>
      </w:r>
      <w:r>
        <w:rPr>
          <w:rFonts w:hint="eastAsia" w:ascii="Times New Roman" w:hAnsi="Times New Roman" w:eastAsia="黑体" w:cs="Times New Roman"/>
          <w:color w:val="000000"/>
          <w:sz w:val="32"/>
          <w:szCs w:val="28"/>
          <w:highlight w:val="none"/>
        </w:rPr>
        <w:t>条</w:t>
      </w:r>
      <w:r>
        <w:rPr>
          <w:rFonts w:hint="eastAsia" w:ascii="Times New Roman" w:hAnsi="Times New Roman" w:eastAsia="仿宋_GB2312" w:cs="Times New Roman"/>
          <w:sz w:val="32"/>
          <w:szCs w:val="32"/>
          <w:highlight w:val="none"/>
        </w:rPr>
        <w:t xml:space="preserve"> 本办法所称托管人是指受社保基金会委托，根据合同安全保管全国社保基金资产的商业银行及其他专业机构。托管人应当具有良好的基金托管业绩和社会信誉，建立良好的内部治理结构，健全内部控制机制和风险管理制度。</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w:t>
      </w:r>
      <w:r>
        <w:rPr>
          <w:rFonts w:hint="eastAsia" w:ascii="Times New Roman" w:hAnsi="Times New Roman" w:eastAsia="黑体" w:cs="Times New Roman"/>
          <w:color w:val="000000"/>
          <w:sz w:val="32"/>
          <w:szCs w:val="28"/>
          <w:highlight w:val="none"/>
          <w:lang w:eastAsia="zh-CN"/>
        </w:rPr>
        <w:t>二十九</w:t>
      </w:r>
      <w:r>
        <w:rPr>
          <w:rFonts w:hint="eastAsia" w:ascii="Times New Roman" w:hAnsi="Times New Roman" w:eastAsia="黑体" w:cs="Times New Roman"/>
          <w:color w:val="000000"/>
          <w:sz w:val="32"/>
          <w:szCs w:val="28"/>
          <w:highlight w:val="none"/>
        </w:rPr>
        <w:t>条</w:t>
      </w:r>
      <w:r>
        <w:rPr>
          <w:rFonts w:hint="eastAsia" w:ascii="Times New Roman" w:hAnsi="Times New Roman" w:eastAsia="仿宋_GB2312" w:cs="Times New Roman"/>
          <w:sz w:val="32"/>
          <w:szCs w:val="32"/>
          <w:highlight w:val="none"/>
        </w:rPr>
        <w:t xml:space="preserve"> 托管人由社保基金会确定。社保基金会制定选聘办法，按照公开、公平、公正的原则，评审和选聘托管人。选聘办法及</w:t>
      </w:r>
      <w:r>
        <w:rPr>
          <w:rFonts w:hint="eastAsia" w:ascii="Times New Roman" w:hAnsi="Times New Roman" w:eastAsia="仿宋_GB2312" w:cs="Times New Roman"/>
          <w:sz w:val="32"/>
          <w:szCs w:val="32"/>
          <w:highlight w:val="none"/>
          <w:lang w:eastAsia="zh-CN"/>
        </w:rPr>
        <w:t>选聘</w:t>
      </w:r>
      <w:r>
        <w:rPr>
          <w:rFonts w:hint="eastAsia" w:ascii="Times New Roman" w:hAnsi="Times New Roman" w:eastAsia="仿宋_GB2312" w:cs="Times New Roman"/>
          <w:sz w:val="32"/>
          <w:szCs w:val="32"/>
          <w:highlight w:val="none"/>
        </w:rPr>
        <w:t>结果报</w:t>
      </w:r>
      <w:r>
        <w:rPr>
          <w:rFonts w:hint="eastAsia" w:ascii="Times New Roman" w:hAnsi="Times New Roman" w:eastAsia="仿宋_GB2312" w:cs="Times New Roman"/>
          <w:sz w:val="32"/>
          <w:szCs w:val="32"/>
          <w:highlight w:val="none"/>
          <w:lang w:eastAsia="zh-CN"/>
        </w:rPr>
        <w:t>财政部、人力资源社会保障部和相关金融监管机构</w:t>
      </w:r>
      <w:r>
        <w:rPr>
          <w:rFonts w:hint="eastAsia" w:ascii="Times New Roman" w:hAnsi="Times New Roman" w:eastAsia="仿宋_GB2312" w:cs="Times New Roman"/>
          <w:sz w:val="32"/>
          <w:szCs w:val="32"/>
          <w:highlight w:val="none"/>
        </w:rPr>
        <w:t>备案。</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第三十条</w:t>
      </w:r>
      <w:r>
        <w:rPr>
          <w:rFonts w:hint="eastAsia" w:ascii="Times New Roman" w:hAnsi="Times New Roman" w:eastAsia="仿宋_GB2312" w:cs="Times New Roman"/>
          <w:sz w:val="32"/>
          <w:szCs w:val="32"/>
          <w:highlight w:val="none"/>
        </w:rPr>
        <w:t xml:space="preserve"> 托管人</w:t>
      </w:r>
      <w:r>
        <w:rPr>
          <w:rFonts w:hint="eastAsia" w:ascii="Times New Roman" w:hAnsi="Times New Roman" w:eastAsia="仿宋_GB2312" w:cs="Times New Roman"/>
          <w:sz w:val="32"/>
          <w:szCs w:val="32"/>
          <w:highlight w:val="none"/>
          <w:lang w:eastAsia="zh-CN"/>
        </w:rPr>
        <w:t>应当</w:t>
      </w:r>
      <w:r>
        <w:rPr>
          <w:rFonts w:hint="eastAsia" w:ascii="Times New Roman" w:hAnsi="Times New Roman" w:eastAsia="仿宋_GB2312" w:cs="Times New Roman"/>
          <w:sz w:val="32"/>
          <w:szCs w:val="32"/>
          <w:highlight w:val="none"/>
        </w:rPr>
        <w:t>具备以下条件：</w:t>
      </w:r>
      <w:r>
        <w:rPr>
          <w:rFonts w:ascii="Times New Roman" w:hAnsi="Times New Roman" w:eastAsia="仿宋_GB2312" w:cs="Times New Roman"/>
          <w:sz w:val="32"/>
          <w:szCs w:val="32"/>
          <w:highlight w:val="none"/>
        </w:rPr>
        <w:t xml:space="preserve"> </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（一）具备专业托管能力，配备足够的熟悉托管业务的专职人员；</w:t>
      </w:r>
    </w:p>
    <w:p>
      <w:pPr>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（二）实收资本不少于</w:t>
      </w:r>
      <w:r>
        <w:rPr>
          <w:rFonts w:hint="eastAsia"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highlight w:val="none"/>
        </w:rPr>
        <w:t>0亿元</w:t>
      </w:r>
      <w:r>
        <w:rPr>
          <w:rFonts w:hint="eastAsia" w:ascii="Times New Roman" w:hAnsi="Times New Roman" w:eastAsia="仿宋_GB2312" w:cs="Times New Roman"/>
          <w:sz w:val="32"/>
          <w:szCs w:val="32"/>
          <w:highlight w:val="none"/>
          <w:lang w:eastAsia="zh-CN"/>
        </w:rPr>
        <w:t>；</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（三）</w:t>
      </w:r>
      <w:r>
        <w:rPr>
          <w:rFonts w:hint="eastAsia" w:ascii="Times New Roman" w:hAnsi="Times New Roman" w:eastAsia="仿宋_GB2312" w:cs="Times New Roman"/>
          <w:sz w:val="32"/>
          <w:szCs w:val="32"/>
          <w:highlight w:val="none"/>
        </w:rPr>
        <w:t>具有完善的法人治理结构、风险管理制度和内部控制机制，最近</w:t>
      </w:r>
      <w:r>
        <w:rPr>
          <w:rFonts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rPr>
        <w:t>年没有重大的违法违规行为，未受到相关监管部门的重大处罚；</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四</w:t>
      </w:r>
      <w:r>
        <w:rPr>
          <w:rFonts w:hint="eastAsia" w:ascii="Times New Roman" w:hAnsi="Times New Roman" w:eastAsia="仿宋_GB2312" w:cs="Times New Roman"/>
          <w:sz w:val="32"/>
          <w:szCs w:val="32"/>
          <w:highlight w:val="none"/>
        </w:rPr>
        <w:t>）具备安全、高效的清算、交割能力；</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五</w:t>
      </w:r>
      <w:r>
        <w:rPr>
          <w:rFonts w:hint="eastAsia" w:ascii="Times New Roman" w:hAnsi="Times New Roman" w:eastAsia="仿宋_GB2312" w:cs="Times New Roman"/>
          <w:sz w:val="32"/>
          <w:szCs w:val="32"/>
          <w:highlight w:val="none"/>
        </w:rPr>
        <w:t>）具有良好的信息技术服务和支持能力。</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第三十</w:t>
      </w:r>
      <w:r>
        <w:rPr>
          <w:rFonts w:hint="eastAsia" w:ascii="Times New Roman" w:hAnsi="Times New Roman" w:eastAsia="黑体" w:cs="Times New Roman"/>
          <w:color w:val="000000"/>
          <w:sz w:val="32"/>
          <w:szCs w:val="28"/>
          <w:highlight w:val="none"/>
          <w:lang w:eastAsia="zh-CN"/>
        </w:rPr>
        <w:t>一</w:t>
      </w:r>
      <w:r>
        <w:rPr>
          <w:rFonts w:hint="eastAsia" w:ascii="Times New Roman" w:hAnsi="Times New Roman" w:eastAsia="黑体" w:cs="Times New Roman"/>
          <w:color w:val="000000"/>
          <w:sz w:val="32"/>
          <w:szCs w:val="28"/>
          <w:highlight w:val="none"/>
        </w:rPr>
        <w:t>条</w:t>
      </w:r>
      <w:r>
        <w:rPr>
          <w:rFonts w:hint="eastAsia" w:ascii="Times New Roman" w:hAnsi="Times New Roman" w:eastAsia="仿宋_GB2312" w:cs="Times New Roman"/>
          <w:sz w:val="32"/>
          <w:szCs w:val="32"/>
          <w:highlight w:val="none"/>
        </w:rPr>
        <w:t xml:space="preserve"> 托管人履行下列职责：</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（一）按照诚实信用、勤勉尽责的原则履行托管人义务，安全托管资产；</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（二）执行社保基金会的指令；</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（三）执行投资管理人的投资指令，并负责办理全国社保基金名下的资金结算；</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（四）按照有关法律、行政法规的规定，托管合同约定和社保基金会的相关要求，对投资管理人进行监督；</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（五）按照相关规定，监督投资管理人定期、足额提取</w:t>
      </w:r>
      <w:r>
        <w:rPr>
          <w:rFonts w:hint="eastAsia" w:ascii="Times New Roman" w:hAnsi="Times New Roman" w:eastAsia="仿宋_GB2312" w:cs="Times New Roman"/>
          <w:sz w:val="32"/>
          <w:szCs w:val="32"/>
          <w:highlight w:val="none"/>
          <w:lang w:eastAsia="zh-CN"/>
        </w:rPr>
        <w:t>全国</w:t>
      </w:r>
      <w:r>
        <w:rPr>
          <w:rFonts w:hint="eastAsia" w:ascii="Times New Roman" w:hAnsi="Times New Roman" w:eastAsia="仿宋_GB2312" w:cs="Times New Roman"/>
          <w:sz w:val="32"/>
          <w:szCs w:val="32"/>
          <w:highlight w:val="none"/>
        </w:rPr>
        <w:t>社保基金投资管理风险准备金并按规定管理、使用与投资；</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（六）按托管合同约定完整保存与托管资产有关的会计凭证、账簿、报表和其他业务档案资料</w:t>
      </w:r>
      <w:r>
        <w:rPr>
          <w:rFonts w:ascii="Times New Roman" w:hAnsi="Times New Roman" w:eastAsia="仿宋_GB2312" w:cs="Times New Roman"/>
          <w:sz w:val="32"/>
          <w:szCs w:val="32"/>
          <w:highlight w:val="none"/>
        </w:rPr>
        <w:t>15</w:t>
      </w:r>
      <w:r>
        <w:rPr>
          <w:rFonts w:hint="eastAsia" w:ascii="Times New Roman" w:hAnsi="Times New Roman" w:eastAsia="仿宋_GB2312" w:cs="Times New Roman"/>
          <w:sz w:val="32"/>
          <w:szCs w:val="32"/>
          <w:highlight w:val="none"/>
        </w:rPr>
        <w:t>年以上；</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（七）法律、行政法规、部门规章规定及托管合同约定的其他职责。</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第三十</w:t>
      </w:r>
      <w:r>
        <w:rPr>
          <w:rFonts w:hint="eastAsia" w:ascii="Times New Roman" w:hAnsi="Times New Roman" w:eastAsia="黑体" w:cs="Times New Roman"/>
          <w:color w:val="000000"/>
          <w:sz w:val="32"/>
          <w:szCs w:val="28"/>
          <w:highlight w:val="none"/>
          <w:lang w:eastAsia="zh-CN"/>
        </w:rPr>
        <w:t>二</w:t>
      </w:r>
      <w:r>
        <w:rPr>
          <w:rFonts w:hint="eastAsia" w:ascii="Times New Roman" w:hAnsi="Times New Roman" w:eastAsia="黑体" w:cs="Times New Roman"/>
          <w:color w:val="000000"/>
          <w:sz w:val="32"/>
          <w:szCs w:val="28"/>
          <w:highlight w:val="none"/>
        </w:rPr>
        <w:t>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有下列情形之一的，托管人应当退任：</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（一）解散、依法被撤销、破产或者由接管人接管其资产；</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（二）社保基金会有充分理由认为托管人应当退任；</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w:t>
      </w:r>
      <w:r>
        <w:rPr>
          <w:rFonts w:hint="eastAsia" w:ascii="Times New Roman" w:hAnsi="Times New Roman" w:eastAsia="仿宋_GB2312" w:cs="Times New Roman"/>
          <w:sz w:val="32"/>
          <w:szCs w:val="32"/>
          <w:highlight w:val="none"/>
          <w:lang w:eastAsia="zh-CN"/>
        </w:rPr>
        <w:t>财政部、人力资源社会保障部</w:t>
      </w:r>
      <w:r>
        <w:rPr>
          <w:rFonts w:hint="eastAsia" w:ascii="Times New Roman" w:hAnsi="Times New Roman" w:eastAsia="仿宋_GB2312" w:cs="Times New Roman"/>
          <w:sz w:val="32"/>
          <w:szCs w:val="32"/>
          <w:highlight w:val="none"/>
        </w:rPr>
        <w:t>或</w:t>
      </w:r>
      <w:r>
        <w:rPr>
          <w:rFonts w:hint="eastAsia" w:ascii="Times New Roman" w:hAnsi="Times New Roman" w:eastAsia="仿宋_GB2312" w:cs="Times New Roman"/>
          <w:sz w:val="32"/>
          <w:szCs w:val="32"/>
          <w:highlight w:val="none"/>
          <w:lang w:eastAsia="zh-CN"/>
        </w:rPr>
        <w:t>金融监管机构</w:t>
      </w:r>
      <w:r>
        <w:rPr>
          <w:rFonts w:hint="eastAsia" w:ascii="Times New Roman" w:hAnsi="Times New Roman" w:eastAsia="仿宋_GB2312" w:cs="Times New Roman"/>
          <w:sz w:val="32"/>
          <w:szCs w:val="32"/>
          <w:highlight w:val="none"/>
        </w:rPr>
        <w:t>有充分理由认为托管人不能继续履行全国社保基金托管职责；</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（四）违反本办法或</w:t>
      </w:r>
      <w:r>
        <w:rPr>
          <w:rFonts w:hint="eastAsia" w:ascii="Times New Roman" w:hAnsi="Times New Roman" w:eastAsia="仿宋_GB2312" w:cs="Times New Roman"/>
          <w:sz w:val="32"/>
          <w:szCs w:val="32"/>
          <w:highlight w:val="none"/>
          <w:lang w:eastAsia="zh-CN"/>
        </w:rPr>
        <w:t>托管</w:t>
      </w:r>
      <w:r>
        <w:rPr>
          <w:rFonts w:hint="eastAsia" w:ascii="Times New Roman" w:hAnsi="Times New Roman" w:eastAsia="仿宋_GB2312" w:cs="Times New Roman"/>
          <w:sz w:val="32"/>
          <w:szCs w:val="32"/>
          <w:highlight w:val="none"/>
        </w:rPr>
        <w:t>合同约定的其他情形。</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第三十</w:t>
      </w:r>
      <w:r>
        <w:rPr>
          <w:rFonts w:hint="eastAsia" w:ascii="Times New Roman" w:hAnsi="Times New Roman" w:eastAsia="黑体" w:cs="Times New Roman"/>
          <w:color w:val="000000"/>
          <w:sz w:val="32"/>
          <w:szCs w:val="28"/>
          <w:highlight w:val="none"/>
          <w:lang w:eastAsia="zh-CN"/>
        </w:rPr>
        <w:t>三</w:t>
      </w:r>
      <w:r>
        <w:rPr>
          <w:rFonts w:hint="eastAsia" w:ascii="Times New Roman" w:hAnsi="Times New Roman" w:eastAsia="黑体" w:cs="Times New Roman"/>
          <w:color w:val="000000"/>
          <w:sz w:val="32"/>
          <w:szCs w:val="28"/>
          <w:highlight w:val="none"/>
        </w:rPr>
        <w:t>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当托管人更换或退任时，社保基金会应当尽快</w:t>
      </w:r>
      <w:r>
        <w:rPr>
          <w:rFonts w:hint="eastAsia" w:ascii="Times New Roman" w:hAnsi="Times New Roman" w:eastAsia="仿宋_GB2312" w:cs="Times New Roman"/>
          <w:sz w:val="32"/>
          <w:szCs w:val="32"/>
          <w:highlight w:val="none"/>
          <w:lang w:eastAsia="zh-CN"/>
        </w:rPr>
        <w:t>聘任</w:t>
      </w:r>
      <w:r>
        <w:rPr>
          <w:rFonts w:hint="eastAsia" w:ascii="Times New Roman" w:hAnsi="Times New Roman" w:eastAsia="仿宋_GB2312" w:cs="Times New Roman"/>
          <w:sz w:val="32"/>
          <w:szCs w:val="32"/>
          <w:highlight w:val="none"/>
        </w:rPr>
        <w:t>新的托管人，并报</w:t>
      </w:r>
      <w:r>
        <w:rPr>
          <w:rFonts w:hint="eastAsia" w:ascii="Times New Roman" w:hAnsi="Times New Roman" w:eastAsia="仿宋_GB2312" w:cs="Times New Roman"/>
          <w:sz w:val="32"/>
          <w:szCs w:val="32"/>
          <w:highlight w:val="none"/>
          <w:lang w:eastAsia="zh-CN"/>
        </w:rPr>
        <w:t>财政部、人力资源社会保障部和金融监管机构</w:t>
      </w:r>
      <w:r>
        <w:rPr>
          <w:rFonts w:hint="eastAsia" w:ascii="Times New Roman" w:hAnsi="Times New Roman" w:eastAsia="仿宋_GB2312" w:cs="Times New Roman"/>
          <w:sz w:val="32"/>
          <w:szCs w:val="32"/>
          <w:highlight w:val="none"/>
        </w:rPr>
        <w:t>备案；新任托管人确定并履行职责后，原任托管人退任。</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第三十</w:t>
      </w:r>
      <w:r>
        <w:rPr>
          <w:rFonts w:hint="eastAsia" w:ascii="Times New Roman" w:hAnsi="Times New Roman" w:eastAsia="黑体" w:cs="Times New Roman"/>
          <w:color w:val="000000"/>
          <w:sz w:val="32"/>
          <w:szCs w:val="28"/>
          <w:highlight w:val="none"/>
          <w:lang w:eastAsia="zh-CN"/>
        </w:rPr>
        <w:t>四</w:t>
      </w:r>
      <w:r>
        <w:rPr>
          <w:rFonts w:hint="eastAsia" w:ascii="Times New Roman" w:hAnsi="Times New Roman" w:eastAsia="黑体" w:cs="Times New Roman"/>
          <w:color w:val="000000"/>
          <w:sz w:val="32"/>
          <w:szCs w:val="28"/>
          <w:highlight w:val="none"/>
        </w:rPr>
        <w:t>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托管人不得从事下列活动：</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（一）将全国社保基金</w:t>
      </w:r>
      <w:r>
        <w:rPr>
          <w:rFonts w:hint="eastAsia" w:ascii="Times New Roman" w:hAnsi="Times New Roman" w:eastAsia="仿宋_GB2312" w:cs="Times New Roman"/>
          <w:sz w:val="32"/>
          <w:szCs w:val="32"/>
          <w:highlight w:val="none"/>
          <w:lang w:eastAsia="zh-CN"/>
        </w:rPr>
        <w:t>资</w:t>
      </w:r>
      <w:r>
        <w:rPr>
          <w:rFonts w:hint="eastAsia" w:ascii="Times New Roman" w:hAnsi="Times New Roman" w:eastAsia="仿宋_GB2312" w:cs="Times New Roman"/>
          <w:sz w:val="32"/>
          <w:szCs w:val="32"/>
          <w:highlight w:val="none"/>
        </w:rPr>
        <w:t>产混同于其他资产管理；</w:t>
      </w:r>
    </w:p>
    <w:p>
      <w:pPr>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w:t>
      </w:r>
      <w:r>
        <w:rPr>
          <w:rFonts w:hint="eastAsia" w:ascii="Times New Roman" w:hAnsi="Times New Roman" w:eastAsia="仿宋_GB2312" w:cs="Times New Roman"/>
          <w:sz w:val="32"/>
          <w:szCs w:val="32"/>
          <w:highlight w:val="none"/>
          <w:lang w:eastAsia="zh-CN"/>
        </w:rPr>
        <w:t>泄露因职务便利获取的全国社保基金未公开的信息，利用该信息从事或者明示、暗示他人从事相关交易活动；</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（三）不公平地对待全国社保基金账户的资产；</w:t>
      </w:r>
    </w:p>
    <w:p>
      <w:pPr>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（四）挪用、侵占全国社保基金的托管资产；</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（五）</w:t>
      </w:r>
      <w:r>
        <w:rPr>
          <w:rFonts w:hint="eastAsia" w:ascii="Times New Roman" w:hAnsi="Times New Roman" w:eastAsia="仿宋_GB2312" w:cs="Times New Roman"/>
          <w:sz w:val="32"/>
          <w:szCs w:val="32"/>
          <w:highlight w:val="none"/>
        </w:rPr>
        <w:t>法律、行政法规、部门规章和托管合同规定不得从事的其他活动。</w:t>
      </w:r>
    </w:p>
    <w:p>
      <w:pPr>
        <w:spacing w:before="156" w:beforeLines="50" w:after="156" w:afterLines="50" w:line="600" w:lineRule="exact"/>
        <w:jc w:val="center"/>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第六章 投资收益分配和费用</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第三十</w:t>
      </w:r>
      <w:r>
        <w:rPr>
          <w:rFonts w:hint="eastAsia" w:ascii="Times New Roman" w:hAnsi="Times New Roman" w:eastAsia="黑体" w:cs="Times New Roman"/>
          <w:color w:val="000000"/>
          <w:sz w:val="32"/>
          <w:szCs w:val="28"/>
          <w:highlight w:val="none"/>
          <w:lang w:eastAsia="zh-CN"/>
        </w:rPr>
        <w:t>五</w:t>
      </w:r>
      <w:r>
        <w:rPr>
          <w:rFonts w:hint="eastAsia" w:ascii="Times New Roman" w:hAnsi="Times New Roman" w:eastAsia="黑体" w:cs="Times New Roman"/>
          <w:color w:val="000000"/>
          <w:sz w:val="32"/>
          <w:szCs w:val="28"/>
          <w:highlight w:val="none"/>
        </w:rPr>
        <w:t>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全国社保基金净收益全额纳入全国社保基金，按国家有关规定分配使用和投资。</w:t>
      </w:r>
    </w:p>
    <w:p>
      <w:pPr>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黑体" w:cs="Times New Roman"/>
          <w:color w:val="000000"/>
          <w:sz w:val="32"/>
          <w:szCs w:val="28"/>
          <w:highlight w:val="none"/>
        </w:rPr>
        <w:t>第三十</w:t>
      </w:r>
      <w:r>
        <w:rPr>
          <w:rFonts w:hint="eastAsia" w:ascii="Times New Roman" w:hAnsi="Times New Roman" w:eastAsia="黑体" w:cs="Times New Roman"/>
          <w:color w:val="000000"/>
          <w:sz w:val="32"/>
          <w:szCs w:val="28"/>
          <w:highlight w:val="none"/>
          <w:lang w:eastAsia="zh-CN"/>
        </w:rPr>
        <w:t>六</w:t>
      </w:r>
      <w:r>
        <w:rPr>
          <w:rFonts w:hint="eastAsia" w:ascii="Times New Roman" w:hAnsi="Times New Roman" w:eastAsia="黑体" w:cs="Times New Roman"/>
          <w:color w:val="000000"/>
          <w:sz w:val="32"/>
          <w:szCs w:val="28"/>
          <w:highlight w:val="none"/>
        </w:rPr>
        <w:t>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社保基金会根据投资产品类型及其风险收益特征合理设置委托资产管理费、托管费的结构和水平</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同时，参照市场通行标准，可以在投资</w:t>
      </w:r>
      <w:r>
        <w:rPr>
          <w:rFonts w:hint="eastAsia" w:ascii="Times New Roman" w:hAnsi="Times New Roman" w:eastAsia="仿宋_GB2312" w:cs="Times New Roman"/>
          <w:sz w:val="32"/>
          <w:szCs w:val="32"/>
          <w:highlight w:val="none"/>
          <w:lang w:eastAsia="zh-CN"/>
        </w:rPr>
        <w:t>管理</w:t>
      </w:r>
      <w:r>
        <w:rPr>
          <w:rFonts w:hint="eastAsia" w:ascii="Times New Roman" w:hAnsi="Times New Roman" w:eastAsia="仿宋_GB2312" w:cs="Times New Roman"/>
          <w:sz w:val="32"/>
          <w:szCs w:val="32"/>
          <w:highlight w:val="none"/>
        </w:rPr>
        <w:t>合同中约定对投资管理人的业绩奖励措施</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具体方案由</w:t>
      </w:r>
      <w:r>
        <w:rPr>
          <w:rFonts w:hint="eastAsia" w:ascii="Times New Roman" w:hAnsi="Times New Roman" w:eastAsia="仿宋_GB2312" w:cs="Times New Roman"/>
          <w:sz w:val="32"/>
          <w:szCs w:val="32"/>
          <w:highlight w:val="none"/>
          <w:lang w:eastAsia="zh-CN"/>
        </w:rPr>
        <w:t>财政部、人力资源社会保障部</w:t>
      </w:r>
      <w:r>
        <w:rPr>
          <w:rFonts w:hint="eastAsia" w:ascii="Times New Roman" w:hAnsi="Times New Roman" w:eastAsia="仿宋_GB2312" w:cs="Times New Roman"/>
          <w:sz w:val="32"/>
          <w:szCs w:val="32"/>
          <w:highlight w:val="none"/>
        </w:rPr>
        <w:t>批准</w:t>
      </w:r>
      <w:r>
        <w:rPr>
          <w:rFonts w:hint="eastAsia" w:ascii="Times New Roman" w:hAnsi="Times New Roman" w:eastAsia="仿宋_GB2312" w:cs="Times New Roman"/>
          <w:sz w:val="32"/>
          <w:szCs w:val="32"/>
          <w:highlight w:val="none"/>
          <w:lang w:eastAsia="zh-CN"/>
        </w:rPr>
        <w:t>。</w:t>
      </w:r>
    </w:p>
    <w:p>
      <w:pPr>
        <w:spacing w:line="600" w:lineRule="exact"/>
        <w:ind w:firstLine="640" w:firstLineChars="200"/>
        <w:rPr>
          <w:rFonts w:hint="eastAsia" w:ascii="Times New Roman" w:hAnsi="Times New Roman" w:eastAsia="仿宋_GB2312" w:cs="Times New Roman"/>
          <w:color w:val="000000"/>
          <w:sz w:val="32"/>
          <w:szCs w:val="28"/>
          <w:lang w:eastAsia="zh-CN"/>
        </w:rPr>
      </w:pPr>
      <w:r>
        <w:rPr>
          <w:rFonts w:ascii="Times New Roman" w:hAnsi="Times New Roman" w:eastAsia="黑体" w:cs="Times New Roman"/>
          <w:color w:val="000000"/>
          <w:sz w:val="32"/>
          <w:szCs w:val="28"/>
        </w:rPr>
        <w:t>第三十</w:t>
      </w:r>
      <w:r>
        <w:rPr>
          <w:rFonts w:hint="eastAsia" w:ascii="Times New Roman" w:hAnsi="Times New Roman" w:eastAsia="黑体" w:cs="Times New Roman"/>
          <w:color w:val="000000"/>
          <w:sz w:val="32"/>
          <w:szCs w:val="28"/>
          <w:lang w:eastAsia="zh-CN"/>
        </w:rPr>
        <w:t>七</w:t>
      </w:r>
      <w:r>
        <w:rPr>
          <w:rFonts w:ascii="Times New Roman" w:hAnsi="Times New Roman" w:eastAsia="黑体" w:cs="Times New Roman"/>
          <w:color w:val="000000"/>
          <w:sz w:val="32"/>
          <w:szCs w:val="28"/>
        </w:rPr>
        <w:t>条</w:t>
      </w:r>
      <w:r>
        <w:rPr>
          <w:rFonts w:ascii="Times New Roman" w:hAnsi="Times New Roman" w:eastAsia="仿宋_GB2312" w:cs="Times New Roman"/>
          <w:color w:val="000000"/>
          <w:sz w:val="32"/>
          <w:szCs w:val="28"/>
        </w:rPr>
        <w:t xml:space="preserve"> 全国社保基金委托资产的管理费由基础管理费和浮动管理费组成。社保基金会应根据委托资产规模设置阶梯式的基础管理费率，并根据投资业绩实施浮动管理费率，奖优罚劣。单个投资</w:t>
      </w:r>
      <w:r>
        <w:rPr>
          <w:rFonts w:hint="eastAsia" w:ascii="Times New Roman" w:hAnsi="Times New Roman" w:eastAsia="仿宋_GB2312" w:cs="Times New Roman"/>
          <w:color w:val="000000"/>
          <w:sz w:val="32"/>
          <w:szCs w:val="28"/>
          <w:lang w:eastAsia="zh-CN"/>
        </w:rPr>
        <w:t>管理</w:t>
      </w:r>
      <w:r>
        <w:rPr>
          <w:rFonts w:ascii="Times New Roman" w:hAnsi="Times New Roman" w:eastAsia="仿宋_GB2312" w:cs="Times New Roman"/>
          <w:color w:val="000000"/>
          <w:sz w:val="32"/>
          <w:szCs w:val="28"/>
        </w:rPr>
        <w:t>合同中，股票类产品管理费的年费不高于委托资产净值的0.8%</w:t>
      </w:r>
      <w:r>
        <w:rPr>
          <w:rFonts w:hint="eastAsia" w:ascii="Times New Roman" w:hAnsi="Times New Roman" w:eastAsia="仿宋_GB2312" w:cs="Times New Roman"/>
          <w:color w:val="000000"/>
          <w:sz w:val="32"/>
          <w:szCs w:val="28"/>
          <w:lang w:eastAsia="zh-CN"/>
        </w:rPr>
        <w:t>，其中基础管理费率不高于</w:t>
      </w:r>
      <w:r>
        <w:rPr>
          <w:rFonts w:hint="eastAsia" w:ascii="Times New Roman" w:hAnsi="Times New Roman" w:eastAsia="仿宋_GB2312" w:cs="Times New Roman"/>
          <w:color w:val="000000"/>
          <w:sz w:val="32"/>
          <w:szCs w:val="28"/>
          <w:lang w:val="en-US" w:eastAsia="zh-CN"/>
        </w:rPr>
        <w:t>0.5%</w:t>
      </w:r>
      <w:r>
        <w:rPr>
          <w:rFonts w:ascii="Times New Roman" w:hAnsi="Times New Roman" w:eastAsia="仿宋_GB2312" w:cs="Times New Roman"/>
          <w:color w:val="000000"/>
          <w:sz w:val="32"/>
          <w:szCs w:val="28"/>
        </w:rPr>
        <w:t>；债券类产品管理费的年费不高于委托资产净值的0.3%；货币现金类产品管理费的年费不高于委托资产净值的0.1%。</w:t>
      </w:r>
    </w:p>
    <w:p>
      <w:pPr>
        <w:spacing w:line="600" w:lineRule="exact"/>
        <w:ind w:firstLine="640" w:firstLineChars="200"/>
        <w:rPr>
          <w:rFonts w:hint="eastAsia" w:ascii="Times New Roman" w:hAnsi="Times New Roman" w:eastAsia="仿宋_GB2312" w:cs="Times New Roman"/>
          <w:color w:val="000000"/>
          <w:sz w:val="32"/>
          <w:szCs w:val="28"/>
          <w:lang w:eastAsia="zh-CN"/>
        </w:rPr>
      </w:pPr>
      <w:r>
        <w:rPr>
          <w:rFonts w:ascii="Times New Roman" w:hAnsi="Times New Roman" w:eastAsia="仿宋_GB2312" w:cs="Times New Roman"/>
          <w:color w:val="000000"/>
          <w:sz w:val="32"/>
          <w:szCs w:val="28"/>
        </w:rPr>
        <w:t>投资股权投资基金的管理费年费不高于投资金额的1.5%。</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w:t>
      </w:r>
      <w:r>
        <w:rPr>
          <w:rFonts w:hint="eastAsia" w:ascii="Times New Roman" w:hAnsi="Times New Roman" w:eastAsia="黑体" w:cs="Times New Roman"/>
          <w:color w:val="000000"/>
          <w:sz w:val="32"/>
          <w:szCs w:val="28"/>
          <w:highlight w:val="none"/>
          <w:lang w:eastAsia="zh-CN"/>
        </w:rPr>
        <w:t>三十八</w:t>
      </w:r>
      <w:r>
        <w:rPr>
          <w:rFonts w:hint="eastAsia" w:ascii="Times New Roman" w:hAnsi="Times New Roman" w:eastAsia="黑体" w:cs="Times New Roman"/>
          <w:color w:val="000000"/>
          <w:sz w:val="32"/>
          <w:szCs w:val="28"/>
          <w:highlight w:val="none"/>
        </w:rPr>
        <w:t>条</w:t>
      </w:r>
      <w:r>
        <w:rPr>
          <w:rFonts w:hint="eastAsia" w:ascii="Times New Roman" w:hAnsi="Times New Roman" w:eastAsia="仿宋_GB2312" w:cs="Times New Roman"/>
          <w:sz w:val="32"/>
          <w:szCs w:val="32"/>
          <w:highlight w:val="none"/>
        </w:rPr>
        <w:t xml:space="preserve"> 托管人提取的托管费年费不高于全国社保基金托管</w:t>
      </w:r>
      <w:r>
        <w:rPr>
          <w:rFonts w:hint="eastAsia" w:ascii="Times New Roman" w:hAnsi="Times New Roman" w:eastAsia="仿宋_GB2312" w:cs="Times New Roman"/>
          <w:sz w:val="32"/>
          <w:szCs w:val="32"/>
          <w:highlight w:val="none"/>
          <w:lang w:eastAsia="zh-CN"/>
        </w:rPr>
        <w:t>给该托管人</w:t>
      </w:r>
      <w:r>
        <w:rPr>
          <w:rFonts w:hint="eastAsia" w:ascii="Times New Roman" w:hAnsi="Times New Roman" w:eastAsia="仿宋_GB2312" w:cs="Times New Roman"/>
          <w:sz w:val="32"/>
          <w:szCs w:val="32"/>
          <w:highlight w:val="none"/>
        </w:rPr>
        <w:t>资产净值的</w:t>
      </w:r>
      <w:r>
        <w:rPr>
          <w:rFonts w:ascii="Times New Roman" w:hAnsi="Times New Roman" w:eastAsia="仿宋_GB2312" w:cs="Times New Roman"/>
          <w:sz w:val="32"/>
          <w:szCs w:val="32"/>
          <w:highlight w:val="none"/>
        </w:rPr>
        <w:t>0.</w:t>
      </w:r>
      <w:r>
        <w:rPr>
          <w:rFonts w:hint="eastAsia" w:ascii="Times New Roman" w:hAnsi="Times New Roman" w:eastAsia="仿宋_GB2312" w:cs="Times New Roman"/>
          <w:sz w:val="32"/>
          <w:szCs w:val="32"/>
          <w:highlight w:val="none"/>
          <w:lang w:val="en-US" w:eastAsia="zh-CN"/>
        </w:rPr>
        <w:t>05%</w:t>
      </w:r>
      <w:r>
        <w:rPr>
          <w:rFonts w:hint="eastAsia" w:ascii="Times New Roman" w:hAnsi="Times New Roman" w:eastAsia="仿宋_GB2312" w:cs="Times New Roman"/>
          <w:sz w:val="32"/>
          <w:szCs w:val="32"/>
          <w:highlight w:val="none"/>
        </w:rPr>
        <w:t>。</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w:t>
      </w:r>
      <w:r>
        <w:rPr>
          <w:rFonts w:hint="eastAsia" w:ascii="Times New Roman" w:hAnsi="Times New Roman" w:eastAsia="黑体" w:cs="Times New Roman"/>
          <w:color w:val="000000"/>
          <w:sz w:val="32"/>
          <w:szCs w:val="28"/>
          <w:highlight w:val="none"/>
          <w:lang w:eastAsia="zh-CN"/>
        </w:rPr>
        <w:t>三十九</w:t>
      </w:r>
      <w:r>
        <w:rPr>
          <w:rFonts w:hint="eastAsia" w:ascii="Times New Roman" w:hAnsi="Times New Roman" w:eastAsia="黑体" w:cs="Times New Roman"/>
          <w:color w:val="000000"/>
          <w:sz w:val="32"/>
          <w:szCs w:val="28"/>
          <w:highlight w:val="none"/>
        </w:rPr>
        <w:t>条</w:t>
      </w:r>
      <w:r>
        <w:rPr>
          <w:rFonts w:hint="eastAsia" w:ascii="Times New Roman" w:hAnsi="Times New Roman" w:eastAsia="仿宋_GB2312" w:cs="Times New Roman"/>
          <w:sz w:val="32"/>
          <w:szCs w:val="32"/>
          <w:highlight w:val="none"/>
        </w:rPr>
        <w:t xml:space="preserve"> 投资管理人按照当年收取管理费的</w:t>
      </w:r>
      <w:r>
        <w:rPr>
          <w:rFonts w:ascii="Times New Roman" w:hAnsi="Times New Roman" w:eastAsia="仿宋_GB2312" w:cs="Times New Roman"/>
          <w:sz w:val="32"/>
          <w:szCs w:val="32"/>
          <w:highlight w:val="none"/>
        </w:rPr>
        <w:t>20</w:t>
      </w:r>
      <w:r>
        <w:rPr>
          <w:rFonts w:hint="eastAsia" w:ascii="Times New Roman" w:hAnsi="Times New Roman" w:eastAsia="仿宋_GB2312" w:cs="Times New Roman"/>
          <w:sz w:val="32"/>
          <w:szCs w:val="32"/>
          <w:highlight w:val="none"/>
        </w:rPr>
        <w:t>％提取全国社保基金投资管理风险准备金，专项用于弥补委托投资亏损。投资管理风险准备金余额达到全国社保基金委托资产净值的</w:t>
      </w:r>
      <w:r>
        <w:rPr>
          <w:rFonts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rPr>
        <w:t>时可以不再提取。</w:t>
      </w:r>
    </w:p>
    <w:p>
      <w:pPr>
        <w:spacing w:before="156" w:beforeLines="50" w:after="156" w:afterLines="50" w:line="600" w:lineRule="exact"/>
        <w:jc w:val="center"/>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第七章 账户和财务管理</w:t>
      </w:r>
    </w:p>
    <w:p>
      <w:pPr>
        <w:spacing w:line="600" w:lineRule="exact"/>
        <w:ind w:firstLine="640" w:firstLineChars="200"/>
        <w:rPr>
          <w:rFonts w:hint="eastAsia" w:ascii="Times New Roman" w:hAnsi="Times New Roman" w:eastAsia="黑体" w:cs="Times New Roman"/>
          <w:color w:val="000000"/>
          <w:sz w:val="32"/>
          <w:szCs w:val="28"/>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四十</w:t>
      </w:r>
      <w:r>
        <w:rPr>
          <w:rFonts w:hint="eastAsia" w:ascii="黑体" w:hAnsi="黑体" w:eastAsia="黑体" w:cs="黑体"/>
          <w:sz w:val="32"/>
          <w:szCs w:val="32"/>
          <w:highlight w:val="none"/>
        </w:rPr>
        <w:t>条</w:t>
      </w:r>
      <w:r>
        <w:rPr>
          <w:rFonts w:hint="eastAsia" w:ascii="Times New Roman" w:hAnsi="Times New Roman" w:eastAsia="仿宋_GB2312" w:cs="Times New Roman"/>
          <w:sz w:val="32"/>
          <w:szCs w:val="32"/>
          <w:highlight w:val="none"/>
        </w:rPr>
        <w:t xml:space="preserve"> 社保基金会应当加强对全国社保基金银行账户的管理，审慎合理配置银行存款，建立完善相关内部管理制度，健全动态风险防范和控制机制。</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第四十</w:t>
      </w:r>
      <w:r>
        <w:rPr>
          <w:rFonts w:hint="eastAsia" w:ascii="Times New Roman" w:hAnsi="Times New Roman" w:eastAsia="黑体" w:cs="Times New Roman"/>
          <w:color w:val="000000"/>
          <w:sz w:val="32"/>
          <w:szCs w:val="28"/>
          <w:highlight w:val="none"/>
          <w:lang w:eastAsia="zh-CN"/>
        </w:rPr>
        <w:t>一</w:t>
      </w:r>
      <w:r>
        <w:rPr>
          <w:rFonts w:hint="eastAsia" w:ascii="Times New Roman" w:hAnsi="Times New Roman" w:eastAsia="黑体" w:cs="Times New Roman"/>
          <w:color w:val="000000"/>
          <w:sz w:val="32"/>
          <w:szCs w:val="28"/>
          <w:highlight w:val="none"/>
        </w:rPr>
        <w:t>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投资管理人受托管理的全国社保基金资产管理业务应当与该管理人的其他业务在财务、账户上分开，不得混合操作和核算。</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第四十</w:t>
      </w:r>
      <w:r>
        <w:rPr>
          <w:rFonts w:hint="eastAsia" w:ascii="Times New Roman" w:hAnsi="Times New Roman" w:eastAsia="黑体" w:cs="Times New Roman"/>
          <w:color w:val="000000"/>
          <w:sz w:val="32"/>
          <w:szCs w:val="28"/>
          <w:highlight w:val="none"/>
          <w:lang w:eastAsia="zh-CN"/>
        </w:rPr>
        <w:t>二</w:t>
      </w:r>
      <w:r>
        <w:rPr>
          <w:rFonts w:hint="eastAsia" w:ascii="Times New Roman" w:hAnsi="Times New Roman" w:eastAsia="黑体" w:cs="Times New Roman"/>
          <w:color w:val="000000"/>
          <w:sz w:val="32"/>
          <w:szCs w:val="28"/>
          <w:highlight w:val="none"/>
        </w:rPr>
        <w:t>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托管人应当为全国社保基金开设独立的证券账户和资金账户。</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第四十</w:t>
      </w:r>
      <w:r>
        <w:rPr>
          <w:rFonts w:hint="eastAsia" w:ascii="Times New Roman" w:hAnsi="Times New Roman" w:eastAsia="黑体" w:cs="Times New Roman"/>
          <w:color w:val="000000"/>
          <w:sz w:val="32"/>
          <w:szCs w:val="28"/>
          <w:highlight w:val="none"/>
          <w:lang w:eastAsia="zh-CN"/>
        </w:rPr>
        <w:t>三</w:t>
      </w:r>
      <w:r>
        <w:rPr>
          <w:rFonts w:hint="eastAsia" w:ascii="Times New Roman" w:hAnsi="Times New Roman" w:eastAsia="黑体" w:cs="Times New Roman"/>
          <w:color w:val="000000"/>
          <w:sz w:val="32"/>
          <w:szCs w:val="28"/>
          <w:highlight w:val="none"/>
        </w:rPr>
        <w:t>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全国社保基金与社保基金会单位财务分别建账，分别核算。</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第四十</w:t>
      </w:r>
      <w:r>
        <w:rPr>
          <w:rFonts w:hint="eastAsia" w:ascii="Times New Roman" w:hAnsi="Times New Roman" w:eastAsia="黑体" w:cs="Times New Roman"/>
          <w:color w:val="000000"/>
          <w:sz w:val="32"/>
          <w:szCs w:val="28"/>
          <w:highlight w:val="none"/>
          <w:lang w:eastAsia="zh-CN"/>
        </w:rPr>
        <w:t>四</w:t>
      </w:r>
      <w:r>
        <w:rPr>
          <w:rFonts w:hint="eastAsia" w:ascii="Times New Roman" w:hAnsi="Times New Roman" w:eastAsia="黑体" w:cs="Times New Roman"/>
          <w:color w:val="000000"/>
          <w:sz w:val="32"/>
          <w:szCs w:val="28"/>
          <w:highlight w:val="none"/>
        </w:rPr>
        <w:t>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投资管理人和托管人应当认真进行日常会计核算，严格按照有关规定编制会计报表，定期就全国社保基金委托</w:t>
      </w:r>
      <w:r>
        <w:rPr>
          <w:rFonts w:hint="eastAsia" w:ascii="Times New Roman" w:hAnsi="Times New Roman" w:eastAsia="仿宋_GB2312" w:cs="Times New Roman"/>
          <w:sz w:val="32"/>
          <w:szCs w:val="32"/>
          <w:highlight w:val="none"/>
          <w:lang w:eastAsia="zh-CN"/>
        </w:rPr>
        <w:t>和托管</w:t>
      </w:r>
      <w:r>
        <w:rPr>
          <w:rFonts w:hint="eastAsia" w:ascii="Times New Roman" w:hAnsi="Times New Roman" w:eastAsia="仿宋_GB2312" w:cs="Times New Roman"/>
          <w:sz w:val="32"/>
          <w:szCs w:val="32"/>
          <w:highlight w:val="none"/>
        </w:rPr>
        <w:t>资产的会计核算、估值和会计报表等进行核对。</w:t>
      </w:r>
    </w:p>
    <w:p>
      <w:pPr>
        <w:spacing w:before="156" w:beforeLines="50" w:line="600" w:lineRule="exact"/>
        <w:jc w:val="center"/>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第八章</w:t>
      </w:r>
      <w:r>
        <w:rPr>
          <w:rFonts w:ascii="Times New Roman" w:hAnsi="Times New Roman" w:eastAsia="黑体" w:cs="Times New Roman"/>
          <w:sz w:val="32"/>
          <w:szCs w:val="32"/>
          <w:highlight w:val="none"/>
        </w:rPr>
        <w:t xml:space="preserve"> </w:t>
      </w:r>
      <w:r>
        <w:rPr>
          <w:rFonts w:hint="eastAsia" w:ascii="Times New Roman" w:hAnsi="Times New Roman" w:eastAsia="黑体" w:cs="Times New Roman"/>
          <w:sz w:val="32"/>
          <w:szCs w:val="32"/>
          <w:highlight w:val="none"/>
        </w:rPr>
        <w:t>报告制度</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第四十</w:t>
      </w:r>
      <w:r>
        <w:rPr>
          <w:rFonts w:hint="eastAsia" w:ascii="Times New Roman" w:hAnsi="Times New Roman" w:eastAsia="黑体" w:cs="Times New Roman"/>
          <w:color w:val="000000"/>
          <w:sz w:val="32"/>
          <w:szCs w:val="28"/>
          <w:highlight w:val="none"/>
          <w:lang w:eastAsia="zh-CN"/>
        </w:rPr>
        <w:t>五</w:t>
      </w:r>
      <w:r>
        <w:rPr>
          <w:rFonts w:hint="eastAsia" w:ascii="Times New Roman" w:hAnsi="Times New Roman" w:eastAsia="黑体" w:cs="Times New Roman"/>
          <w:color w:val="000000"/>
          <w:sz w:val="32"/>
          <w:szCs w:val="28"/>
          <w:highlight w:val="none"/>
        </w:rPr>
        <w:t>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社保基金会、投资管理人、托管人以及其他参与全国社保基金投资运</w:t>
      </w:r>
      <w:r>
        <w:rPr>
          <w:rFonts w:hint="eastAsia" w:ascii="Times New Roman" w:hAnsi="Times New Roman" w:eastAsia="仿宋_GB2312" w:cs="Times New Roman"/>
          <w:sz w:val="32"/>
          <w:szCs w:val="32"/>
          <w:highlight w:val="none"/>
          <w:lang w:eastAsia="zh-CN"/>
        </w:rPr>
        <w:t>营</w:t>
      </w:r>
      <w:r>
        <w:rPr>
          <w:rFonts w:hint="eastAsia" w:ascii="Times New Roman" w:hAnsi="Times New Roman" w:eastAsia="仿宋_GB2312" w:cs="Times New Roman"/>
          <w:sz w:val="32"/>
          <w:szCs w:val="32"/>
          <w:highlight w:val="none"/>
        </w:rPr>
        <w:t>的机构，应当按照相关规定报告全国社保基金投资运</w:t>
      </w:r>
      <w:r>
        <w:rPr>
          <w:rFonts w:hint="eastAsia" w:ascii="Times New Roman" w:hAnsi="Times New Roman" w:eastAsia="仿宋_GB2312" w:cs="Times New Roman"/>
          <w:sz w:val="32"/>
          <w:szCs w:val="32"/>
          <w:highlight w:val="none"/>
          <w:lang w:eastAsia="zh-CN"/>
        </w:rPr>
        <w:t>营</w:t>
      </w:r>
      <w:r>
        <w:rPr>
          <w:rFonts w:hint="eastAsia" w:ascii="Times New Roman" w:hAnsi="Times New Roman" w:eastAsia="仿宋_GB2312" w:cs="Times New Roman"/>
          <w:sz w:val="32"/>
          <w:szCs w:val="32"/>
          <w:highlight w:val="none"/>
        </w:rPr>
        <w:t>的情况，保证报告内容没有虚假记载、误导性陈述或者重大遗漏，并对所报告内容的真实性、完整性负责。</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第四十</w:t>
      </w:r>
      <w:r>
        <w:rPr>
          <w:rFonts w:hint="eastAsia" w:ascii="Times New Roman" w:hAnsi="Times New Roman" w:eastAsia="黑体" w:cs="Times New Roman"/>
          <w:color w:val="000000"/>
          <w:sz w:val="32"/>
          <w:szCs w:val="28"/>
          <w:highlight w:val="none"/>
          <w:lang w:eastAsia="zh-CN"/>
        </w:rPr>
        <w:t>六</w:t>
      </w:r>
      <w:r>
        <w:rPr>
          <w:rFonts w:hint="eastAsia" w:ascii="Times New Roman" w:hAnsi="Times New Roman" w:eastAsia="黑体" w:cs="Times New Roman"/>
          <w:color w:val="000000"/>
          <w:sz w:val="32"/>
          <w:szCs w:val="28"/>
          <w:highlight w:val="none"/>
        </w:rPr>
        <w:t>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社保基金会的信息披露和报告应当符合以下要求：</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（一）每年一次向社会公布全国社保基金资产</w:t>
      </w:r>
      <w:r>
        <w:rPr>
          <w:rFonts w:hint="eastAsia" w:ascii="Times New Roman" w:hAnsi="Times New Roman" w:eastAsia="仿宋_GB2312" w:cs="Times New Roman"/>
          <w:sz w:val="32"/>
          <w:szCs w:val="32"/>
          <w:highlight w:val="none"/>
          <w:lang w:eastAsia="zh-CN"/>
        </w:rPr>
        <w:t>和</w:t>
      </w:r>
      <w:r>
        <w:rPr>
          <w:rFonts w:hint="eastAsia" w:ascii="Times New Roman" w:hAnsi="Times New Roman" w:eastAsia="仿宋_GB2312" w:cs="Times New Roman"/>
          <w:sz w:val="32"/>
          <w:szCs w:val="32"/>
          <w:highlight w:val="none"/>
        </w:rPr>
        <w:t>收益等财务状况，并接受社会监督；</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（二）每季度一次向</w:t>
      </w:r>
      <w:r>
        <w:rPr>
          <w:rFonts w:hint="eastAsia" w:ascii="Times New Roman" w:hAnsi="Times New Roman" w:eastAsia="仿宋_GB2312" w:cs="Times New Roman"/>
          <w:sz w:val="32"/>
          <w:szCs w:val="32"/>
          <w:highlight w:val="none"/>
          <w:lang w:eastAsia="zh-CN"/>
        </w:rPr>
        <w:t>财政部、人力资源社会保障部</w:t>
      </w:r>
      <w:r>
        <w:rPr>
          <w:rFonts w:hint="eastAsia" w:ascii="Times New Roman" w:hAnsi="Times New Roman" w:eastAsia="仿宋_GB2312" w:cs="Times New Roman"/>
          <w:sz w:val="32"/>
          <w:szCs w:val="32"/>
          <w:highlight w:val="none"/>
        </w:rPr>
        <w:t>提交全国社保基金财务会计报告、投资管理报告；</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（三）每月一次向</w:t>
      </w:r>
      <w:r>
        <w:rPr>
          <w:rFonts w:hint="eastAsia" w:ascii="Times New Roman" w:hAnsi="Times New Roman" w:eastAsia="仿宋_GB2312" w:cs="Times New Roman"/>
          <w:sz w:val="32"/>
          <w:szCs w:val="32"/>
          <w:highlight w:val="none"/>
          <w:lang w:eastAsia="zh-CN"/>
        </w:rPr>
        <w:t>财政部、人力资源社会保障部</w:t>
      </w:r>
      <w:r>
        <w:rPr>
          <w:rFonts w:hint="eastAsia" w:ascii="Times New Roman" w:hAnsi="Times New Roman" w:eastAsia="仿宋_GB2312" w:cs="Times New Roman"/>
          <w:sz w:val="32"/>
          <w:szCs w:val="32"/>
          <w:highlight w:val="none"/>
        </w:rPr>
        <w:t>提交全国社保基金投资运</w:t>
      </w:r>
      <w:r>
        <w:rPr>
          <w:rFonts w:hint="eastAsia" w:ascii="Times New Roman" w:hAnsi="Times New Roman" w:eastAsia="仿宋_GB2312" w:cs="Times New Roman"/>
          <w:sz w:val="32"/>
          <w:szCs w:val="32"/>
          <w:highlight w:val="none"/>
          <w:lang w:eastAsia="zh-CN"/>
        </w:rPr>
        <w:t>营</w:t>
      </w:r>
      <w:r>
        <w:rPr>
          <w:rFonts w:hint="eastAsia" w:ascii="Times New Roman" w:hAnsi="Times New Roman" w:eastAsia="仿宋_GB2312" w:cs="Times New Roman"/>
          <w:sz w:val="32"/>
          <w:szCs w:val="32"/>
          <w:highlight w:val="none"/>
        </w:rPr>
        <w:t>月度快报；</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（四）单个全国社保基金投资</w:t>
      </w:r>
      <w:r>
        <w:rPr>
          <w:rFonts w:hint="eastAsia" w:ascii="Times New Roman" w:hAnsi="Times New Roman" w:eastAsia="仿宋_GB2312" w:cs="Times New Roman"/>
          <w:sz w:val="32"/>
          <w:szCs w:val="32"/>
          <w:highlight w:val="none"/>
          <w:lang w:eastAsia="zh-CN"/>
        </w:rPr>
        <w:t>管理</w:t>
      </w:r>
      <w:r>
        <w:rPr>
          <w:rFonts w:hint="eastAsia" w:ascii="Times New Roman" w:hAnsi="Times New Roman" w:eastAsia="仿宋_GB2312" w:cs="Times New Roman"/>
          <w:sz w:val="32"/>
          <w:szCs w:val="32"/>
          <w:highlight w:val="none"/>
        </w:rPr>
        <w:t>合同到期后，向</w:t>
      </w:r>
      <w:r>
        <w:rPr>
          <w:rFonts w:hint="eastAsia" w:ascii="Times New Roman" w:hAnsi="Times New Roman" w:eastAsia="仿宋_GB2312" w:cs="Times New Roman"/>
          <w:sz w:val="32"/>
          <w:szCs w:val="32"/>
          <w:highlight w:val="none"/>
          <w:lang w:eastAsia="zh-CN"/>
        </w:rPr>
        <w:t>财政部、人力资源社会保障部</w:t>
      </w:r>
      <w:r>
        <w:rPr>
          <w:rFonts w:hint="eastAsia" w:ascii="Times New Roman" w:hAnsi="Times New Roman" w:eastAsia="仿宋_GB2312" w:cs="Times New Roman"/>
          <w:sz w:val="32"/>
          <w:szCs w:val="32"/>
          <w:highlight w:val="none"/>
        </w:rPr>
        <w:t>提交经会计师事务所审计的报告，对全国社保基金委托资产的投资情况作出说明；</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（五）全国社保基金发生重大事件，立即报告</w:t>
      </w:r>
      <w:r>
        <w:rPr>
          <w:rFonts w:hint="eastAsia" w:ascii="Times New Roman" w:hAnsi="Times New Roman" w:eastAsia="仿宋_GB2312" w:cs="Times New Roman"/>
          <w:sz w:val="32"/>
          <w:szCs w:val="32"/>
          <w:highlight w:val="none"/>
          <w:lang w:eastAsia="zh-CN"/>
        </w:rPr>
        <w:t>财政部、人力资源社会保障部</w:t>
      </w:r>
      <w:r>
        <w:rPr>
          <w:rFonts w:hint="eastAsia" w:ascii="Times New Roman" w:hAnsi="Times New Roman" w:eastAsia="仿宋_GB2312" w:cs="Times New Roman"/>
          <w:sz w:val="32"/>
          <w:szCs w:val="32"/>
          <w:highlight w:val="none"/>
        </w:rPr>
        <w:t>，并编制临时报告书，经核准后予以公告。</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第四十</w:t>
      </w:r>
      <w:r>
        <w:rPr>
          <w:rFonts w:hint="eastAsia" w:ascii="Times New Roman" w:hAnsi="Times New Roman" w:eastAsia="黑体" w:cs="Times New Roman"/>
          <w:color w:val="000000"/>
          <w:sz w:val="32"/>
          <w:szCs w:val="28"/>
          <w:highlight w:val="none"/>
          <w:lang w:eastAsia="zh-CN"/>
        </w:rPr>
        <w:t>七</w:t>
      </w:r>
      <w:r>
        <w:rPr>
          <w:rFonts w:hint="eastAsia" w:ascii="Times New Roman" w:hAnsi="Times New Roman" w:eastAsia="黑体" w:cs="Times New Roman"/>
          <w:color w:val="000000"/>
          <w:sz w:val="32"/>
          <w:szCs w:val="28"/>
          <w:highlight w:val="none"/>
        </w:rPr>
        <w:t>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投资管理人应当按投资</w:t>
      </w:r>
      <w:r>
        <w:rPr>
          <w:rFonts w:hint="eastAsia" w:ascii="Times New Roman" w:hAnsi="Times New Roman" w:eastAsia="仿宋_GB2312" w:cs="Times New Roman"/>
          <w:sz w:val="32"/>
          <w:szCs w:val="32"/>
          <w:highlight w:val="none"/>
          <w:lang w:eastAsia="zh-CN"/>
        </w:rPr>
        <w:t>管理</w:t>
      </w:r>
      <w:r>
        <w:rPr>
          <w:rFonts w:hint="eastAsia" w:ascii="Times New Roman" w:hAnsi="Times New Roman" w:eastAsia="仿宋_GB2312" w:cs="Times New Roman"/>
          <w:sz w:val="32"/>
          <w:szCs w:val="32"/>
          <w:highlight w:val="none"/>
        </w:rPr>
        <w:t>合同和社保基金会的要求定期和不定期向社保基金会提供全国社保基金委托资产投资运</w:t>
      </w:r>
      <w:r>
        <w:rPr>
          <w:rFonts w:hint="eastAsia" w:ascii="Times New Roman" w:hAnsi="Times New Roman" w:eastAsia="仿宋_GB2312" w:cs="Times New Roman"/>
          <w:sz w:val="32"/>
          <w:szCs w:val="32"/>
          <w:highlight w:val="none"/>
          <w:lang w:eastAsia="zh-CN"/>
        </w:rPr>
        <w:t>营</w:t>
      </w:r>
      <w:r>
        <w:rPr>
          <w:rFonts w:hint="eastAsia" w:ascii="Times New Roman" w:hAnsi="Times New Roman" w:eastAsia="仿宋_GB2312" w:cs="Times New Roman"/>
          <w:sz w:val="32"/>
          <w:szCs w:val="32"/>
          <w:highlight w:val="none"/>
        </w:rPr>
        <w:t>报告。</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第四十</w:t>
      </w:r>
      <w:r>
        <w:rPr>
          <w:rFonts w:hint="eastAsia" w:ascii="Times New Roman" w:hAnsi="Times New Roman" w:eastAsia="黑体" w:cs="Times New Roman"/>
          <w:color w:val="000000"/>
          <w:sz w:val="32"/>
          <w:szCs w:val="28"/>
          <w:highlight w:val="none"/>
          <w:lang w:eastAsia="zh-CN"/>
        </w:rPr>
        <w:t>八</w:t>
      </w:r>
      <w:r>
        <w:rPr>
          <w:rFonts w:hint="eastAsia" w:ascii="Times New Roman" w:hAnsi="Times New Roman" w:eastAsia="黑体" w:cs="Times New Roman"/>
          <w:color w:val="000000"/>
          <w:sz w:val="32"/>
          <w:szCs w:val="28"/>
          <w:highlight w:val="none"/>
        </w:rPr>
        <w:t>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托管人应当按托管合同和社保基金会要求定期和不定期向社保基金会提供全国社保基金托管资产报告，并对第四十</w:t>
      </w:r>
      <w:r>
        <w:rPr>
          <w:rFonts w:hint="eastAsia" w:ascii="Times New Roman" w:hAnsi="Times New Roman" w:eastAsia="仿宋_GB2312" w:cs="Times New Roman"/>
          <w:sz w:val="32"/>
          <w:szCs w:val="32"/>
          <w:highlight w:val="none"/>
          <w:lang w:eastAsia="zh-CN"/>
        </w:rPr>
        <w:t>七</w:t>
      </w:r>
      <w:r>
        <w:rPr>
          <w:rFonts w:hint="eastAsia" w:ascii="Times New Roman" w:hAnsi="Times New Roman" w:eastAsia="仿宋_GB2312" w:cs="Times New Roman"/>
          <w:sz w:val="32"/>
          <w:szCs w:val="32"/>
          <w:highlight w:val="none"/>
        </w:rPr>
        <w:t>条投资管理人编制的报告的有关内容复核。</w:t>
      </w:r>
    </w:p>
    <w:p>
      <w:pPr>
        <w:spacing w:before="156" w:beforeLines="50" w:after="156" w:afterLines="50" w:line="600" w:lineRule="exact"/>
        <w:jc w:val="center"/>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第九章</w:t>
      </w:r>
      <w:r>
        <w:rPr>
          <w:rFonts w:ascii="Times New Roman" w:hAnsi="Times New Roman" w:eastAsia="黑体" w:cs="Times New Roman"/>
          <w:sz w:val="32"/>
          <w:szCs w:val="32"/>
          <w:highlight w:val="none"/>
        </w:rPr>
        <w:t xml:space="preserve"> </w:t>
      </w:r>
      <w:r>
        <w:rPr>
          <w:rFonts w:hint="eastAsia" w:ascii="Times New Roman" w:hAnsi="Times New Roman" w:eastAsia="黑体" w:cs="Times New Roman"/>
          <w:sz w:val="32"/>
          <w:szCs w:val="32"/>
          <w:highlight w:val="none"/>
        </w:rPr>
        <w:t>法律责任</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w:t>
      </w:r>
      <w:r>
        <w:rPr>
          <w:rFonts w:hint="eastAsia" w:ascii="Times New Roman" w:hAnsi="Times New Roman" w:eastAsia="黑体" w:cs="Times New Roman"/>
          <w:color w:val="000000"/>
          <w:sz w:val="32"/>
          <w:szCs w:val="28"/>
          <w:highlight w:val="none"/>
          <w:lang w:eastAsia="zh-CN"/>
        </w:rPr>
        <w:t>四十九</w:t>
      </w:r>
      <w:r>
        <w:rPr>
          <w:rFonts w:hint="eastAsia" w:ascii="Times New Roman" w:hAnsi="Times New Roman" w:eastAsia="黑体" w:cs="Times New Roman"/>
          <w:color w:val="000000"/>
          <w:sz w:val="32"/>
          <w:szCs w:val="28"/>
          <w:highlight w:val="none"/>
        </w:rPr>
        <w:t>条</w:t>
      </w:r>
      <w:r>
        <w:rPr>
          <w:rFonts w:ascii="Times New Roman" w:hAnsi="Times New Roman" w:eastAsia="黑体" w:cs="Times New Roman"/>
          <w:color w:val="000000"/>
          <w:sz w:val="32"/>
          <w:szCs w:val="28"/>
          <w:highlight w:val="none"/>
        </w:rPr>
        <w:t xml:space="preserve"> </w:t>
      </w:r>
      <w:r>
        <w:rPr>
          <w:rFonts w:hint="eastAsia" w:ascii="Times New Roman" w:hAnsi="Times New Roman" w:eastAsia="仿宋_GB2312" w:cs="Times New Roman"/>
          <w:sz w:val="32"/>
          <w:szCs w:val="32"/>
          <w:highlight w:val="none"/>
        </w:rPr>
        <w:t>投资管理人和托管人违反本办法第十二条独立性规定的，责令其限期改正，并处以10万元</w:t>
      </w:r>
      <w:r>
        <w:rPr>
          <w:rFonts w:hint="eastAsia" w:ascii="Times New Roman" w:hAnsi="Times New Roman" w:eastAsia="仿宋_GB2312" w:cs="Times New Roman"/>
          <w:sz w:val="32"/>
          <w:szCs w:val="32"/>
          <w:highlight w:val="none"/>
          <w:lang w:eastAsia="zh-CN"/>
        </w:rPr>
        <w:t>以上</w:t>
      </w:r>
      <w:r>
        <w:rPr>
          <w:rFonts w:hint="eastAsia" w:ascii="Times New Roman" w:hAnsi="Times New Roman" w:eastAsia="仿宋_GB2312" w:cs="Times New Roman"/>
          <w:sz w:val="32"/>
          <w:szCs w:val="32"/>
          <w:highlight w:val="none"/>
          <w:lang w:val="en-US" w:eastAsia="zh-CN"/>
        </w:rPr>
        <w:t>100万元</w:t>
      </w:r>
      <w:r>
        <w:rPr>
          <w:rFonts w:hint="eastAsia" w:ascii="Times New Roman" w:hAnsi="Times New Roman" w:eastAsia="仿宋_GB2312" w:cs="Times New Roman"/>
          <w:sz w:val="32"/>
          <w:szCs w:val="32"/>
          <w:highlight w:val="none"/>
        </w:rPr>
        <w:t>以下的罚款。</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第五十条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投资管理人违反本办法第十三条规定，超出范围进行投资的，责令其限期改正，并处以</w:t>
      </w:r>
      <w:r>
        <w:rPr>
          <w:rFonts w:hint="eastAsia" w:ascii="Times New Roman" w:hAnsi="Times New Roman" w:eastAsia="仿宋_GB2312" w:cs="Times New Roman"/>
          <w:sz w:val="32"/>
          <w:szCs w:val="32"/>
          <w:highlight w:val="none"/>
          <w:lang w:val="en-US" w:eastAsia="zh-CN"/>
        </w:rPr>
        <w:t>10万元以上</w:t>
      </w:r>
      <w:r>
        <w:rPr>
          <w:rFonts w:hint="eastAsia" w:ascii="Times New Roman" w:hAnsi="Times New Roman" w:eastAsia="仿宋_GB2312" w:cs="Times New Roman"/>
          <w:sz w:val="32"/>
          <w:szCs w:val="32"/>
          <w:highlight w:val="none"/>
          <w:lang w:eastAsia="zh-CN"/>
        </w:rPr>
        <w:t>1</w:t>
      </w:r>
      <w:r>
        <w:rPr>
          <w:rFonts w:hint="eastAsia" w:ascii="Times New Roman" w:hAnsi="Times New Roman" w:eastAsia="仿宋_GB2312" w:cs="Times New Roman"/>
          <w:sz w:val="32"/>
          <w:szCs w:val="32"/>
          <w:highlight w:val="none"/>
          <w:lang w:val="en-US" w:eastAsia="zh-CN"/>
        </w:rPr>
        <w:t>00</w:t>
      </w:r>
      <w:r>
        <w:rPr>
          <w:rFonts w:hint="eastAsia" w:ascii="Times New Roman" w:hAnsi="Times New Roman" w:eastAsia="仿宋_GB2312" w:cs="Times New Roman"/>
          <w:sz w:val="32"/>
          <w:szCs w:val="32"/>
          <w:highlight w:val="none"/>
        </w:rPr>
        <w:t>万元以下的罚款。</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第五十</w:t>
      </w:r>
      <w:r>
        <w:rPr>
          <w:rFonts w:hint="eastAsia" w:ascii="Times New Roman" w:hAnsi="Times New Roman" w:eastAsia="黑体" w:cs="Times New Roman"/>
          <w:color w:val="000000"/>
          <w:sz w:val="32"/>
          <w:szCs w:val="28"/>
          <w:highlight w:val="none"/>
          <w:lang w:eastAsia="zh-CN"/>
        </w:rPr>
        <w:t>一</w:t>
      </w:r>
      <w:r>
        <w:rPr>
          <w:rFonts w:hint="eastAsia" w:ascii="Times New Roman" w:hAnsi="Times New Roman" w:eastAsia="黑体" w:cs="Times New Roman"/>
          <w:color w:val="000000"/>
          <w:sz w:val="32"/>
          <w:szCs w:val="28"/>
          <w:highlight w:val="none"/>
        </w:rPr>
        <w:t>条</w:t>
      </w:r>
      <w:r>
        <w:rPr>
          <w:rFonts w:ascii="Times New Roman" w:hAnsi="Times New Roman" w:eastAsia="黑体" w:cs="Times New Roman"/>
          <w:color w:val="000000"/>
          <w:sz w:val="32"/>
          <w:szCs w:val="28"/>
          <w:highlight w:val="none"/>
        </w:rPr>
        <w:t xml:space="preserve"> </w:t>
      </w:r>
      <w:r>
        <w:rPr>
          <w:rFonts w:hint="eastAsia" w:ascii="Times New Roman" w:hAnsi="Times New Roman" w:eastAsia="仿宋_GB2312" w:cs="Times New Roman"/>
          <w:sz w:val="32"/>
          <w:szCs w:val="32"/>
          <w:highlight w:val="none"/>
        </w:rPr>
        <w:t>投资管理人违反本办法第十</w:t>
      </w:r>
      <w:r>
        <w:rPr>
          <w:rFonts w:hint="eastAsia" w:ascii="Times New Roman" w:hAnsi="Times New Roman" w:eastAsia="仿宋_GB2312" w:cs="Times New Roman"/>
          <w:sz w:val="32"/>
          <w:szCs w:val="32"/>
          <w:highlight w:val="none"/>
          <w:lang w:eastAsia="zh-CN"/>
        </w:rPr>
        <w:t>五</w:t>
      </w:r>
      <w:r>
        <w:rPr>
          <w:rFonts w:hint="eastAsia" w:ascii="Times New Roman" w:hAnsi="Times New Roman" w:eastAsia="仿宋_GB2312" w:cs="Times New Roman"/>
          <w:sz w:val="32"/>
          <w:szCs w:val="32"/>
          <w:highlight w:val="none"/>
        </w:rPr>
        <w:t>条规定，责令其限期改正，并处以</w:t>
      </w:r>
      <w:r>
        <w:rPr>
          <w:rFonts w:hint="eastAsia" w:ascii="Times New Roman" w:hAnsi="Times New Roman" w:eastAsia="仿宋_GB2312" w:cs="Times New Roman"/>
          <w:sz w:val="32"/>
          <w:szCs w:val="32"/>
          <w:highlight w:val="none"/>
          <w:lang w:val="en-US" w:eastAsia="zh-CN"/>
        </w:rPr>
        <w:t>10万元以上</w:t>
      </w:r>
      <w:r>
        <w:rPr>
          <w:rFonts w:hint="eastAsia" w:ascii="Times New Roman" w:hAnsi="Times New Roman" w:eastAsia="仿宋_GB2312" w:cs="Times New Roman"/>
          <w:sz w:val="32"/>
          <w:szCs w:val="32"/>
          <w:highlight w:val="none"/>
          <w:lang w:eastAsia="zh-CN"/>
        </w:rPr>
        <w:t>1</w:t>
      </w:r>
      <w:r>
        <w:rPr>
          <w:rFonts w:hint="eastAsia" w:ascii="Times New Roman" w:hAnsi="Times New Roman" w:eastAsia="仿宋_GB2312" w:cs="Times New Roman"/>
          <w:sz w:val="32"/>
          <w:szCs w:val="32"/>
          <w:highlight w:val="none"/>
          <w:lang w:val="en-US" w:eastAsia="zh-CN"/>
        </w:rPr>
        <w:t>00</w:t>
      </w:r>
      <w:r>
        <w:rPr>
          <w:rFonts w:hint="eastAsia" w:ascii="Times New Roman" w:hAnsi="Times New Roman" w:eastAsia="仿宋_GB2312" w:cs="Times New Roman"/>
          <w:sz w:val="32"/>
          <w:szCs w:val="32"/>
          <w:highlight w:val="none"/>
        </w:rPr>
        <w:t>万元以下的罚款。</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第五十</w:t>
      </w:r>
      <w:r>
        <w:rPr>
          <w:rFonts w:hint="eastAsia" w:ascii="Times New Roman" w:hAnsi="Times New Roman" w:eastAsia="黑体" w:cs="Times New Roman"/>
          <w:color w:val="000000"/>
          <w:sz w:val="32"/>
          <w:szCs w:val="28"/>
          <w:highlight w:val="none"/>
          <w:lang w:eastAsia="zh-CN"/>
        </w:rPr>
        <w:t>二</w:t>
      </w:r>
      <w:r>
        <w:rPr>
          <w:rFonts w:hint="eastAsia" w:ascii="Times New Roman" w:hAnsi="Times New Roman" w:eastAsia="黑体" w:cs="Times New Roman"/>
          <w:color w:val="000000"/>
          <w:sz w:val="32"/>
          <w:szCs w:val="28"/>
          <w:highlight w:val="none"/>
        </w:rPr>
        <w:t>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投资管理人违反本办法第二十</w:t>
      </w:r>
      <w:r>
        <w:rPr>
          <w:rFonts w:hint="eastAsia" w:ascii="Times New Roman" w:hAnsi="Times New Roman" w:eastAsia="仿宋_GB2312" w:cs="Times New Roman"/>
          <w:sz w:val="32"/>
          <w:szCs w:val="32"/>
          <w:highlight w:val="none"/>
          <w:lang w:eastAsia="zh-CN"/>
        </w:rPr>
        <w:t>四</w:t>
      </w:r>
      <w:r>
        <w:rPr>
          <w:rFonts w:hint="eastAsia" w:ascii="Times New Roman" w:hAnsi="Times New Roman" w:eastAsia="仿宋_GB2312" w:cs="Times New Roman"/>
          <w:sz w:val="32"/>
          <w:szCs w:val="32"/>
          <w:highlight w:val="none"/>
        </w:rPr>
        <w:t>条规定，不及时或者未向社保基金会报告该条所列情形之一的，责令其限期改正，并处以10万元</w:t>
      </w:r>
      <w:r>
        <w:rPr>
          <w:rFonts w:hint="eastAsia" w:ascii="Times New Roman" w:hAnsi="Times New Roman" w:eastAsia="仿宋_GB2312" w:cs="Times New Roman"/>
          <w:sz w:val="32"/>
          <w:szCs w:val="32"/>
          <w:highlight w:val="none"/>
          <w:lang w:eastAsia="zh-CN"/>
        </w:rPr>
        <w:t>以上</w:t>
      </w:r>
      <w:r>
        <w:rPr>
          <w:rFonts w:hint="eastAsia" w:ascii="Times New Roman" w:hAnsi="Times New Roman" w:eastAsia="仿宋_GB2312" w:cs="Times New Roman"/>
          <w:sz w:val="32"/>
          <w:szCs w:val="32"/>
          <w:highlight w:val="none"/>
          <w:lang w:val="en-US" w:eastAsia="zh-CN"/>
        </w:rPr>
        <w:t>100万元</w:t>
      </w:r>
      <w:r>
        <w:rPr>
          <w:rFonts w:hint="eastAsia" w:ascii="Times New Roman" w:hAnsi="Times New Roman" w:eastAsia="仿宋_GB2312" w:cs="Times New Roman"/>
          <w:sz w:val="32"/>
          <w:szCs w:val="32"/>
          <w:highlight w:val="none"/>
        </w:rPr>
        <w:t xml:space="preserve">以下的罚款。 </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第五十</w:t>
      </w:r>
      <w:r>
        <w:rPr>
          <w:rFonts w:hint="eastAsia" w:ascii="Times New Roman" w:hAnsi="Times New Roman" w:eastAsia="黑体" w:cs="Times New Roman"/>
          <w:color w:val="000000"/>
          <w:sz w:val="32"/>
          <w:szCs w:val="28"/>
          <w:highlight w:val="none"/>
          <w:lang w:eastAsia="zh-CN"/>
        </w:rPr>
        <w:t>三</w:t>
      </w:r>
      <w:r>
        <w:rPr>
          <w:rFonts w:hint="eastAsia" w:ascii="Times New Roman" w:hAnsi="Times New Roman" w:eastAsia="黑体" w:cs="Times New Roman"/>
          <w:color w:val="000000"/>
          <w:sz w:val="32"/>
          <w:szCs w:val="28"/>
          <w:highlight w:val="none"/>
        </w:rPr>
        <w:t>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投资管理人或者托管人违反本办法第二十</w:t>
      </w:r>
      <w:r>
        <w:rPr>
          <w:rFonts w:hint="eastAsia" w:ascii="Times New Roman" w:hAnsi="Times New Roman" w:eastAsia="仿宋_GB2312" w:cs="Times New Roman"/>
          <w:sz w:val="32"/>
          <w:szCs w:val="32"/>
          <w:highlight w:val="none"/>
          <w:lang w:eastAsia="zh-CN"/>
        </w:rPr>
        <w:t>七条</w:t>
      </w:r>
      <w:r>
        <w:rPr>
          <w:rFonts w:hint="eastAsia" w:ascii="Times New Roman" w:hAnsi="Times New Roman" w:eastAsia="仿宋_GB2312" w:cs="Times New Roman"/>
          <w:sz w:val="32"/>
          <w:szCs w:val="32"/>
          <w:highlight w:val="none"/>
        </w:rPr>
        <w:t>和</w:t>
      </w:r>
      <w:r>
        <w:rPr>
          <w:rFonts w:hint="eastAsia" w:ascii="Times New Roman" w:hAnsi="Times New Roman" w:eastAsia="仿宋_GB2312" w:cs="Times New Roman"/>
          <w:sz w:val="32"/>
          <w:szCs w:val="32"/>
          <w:highlight w:val="none"/>
          <w:lang w:eastAsia="zh-CN"/>
        </w:rPr>
        <w:t>第</w:t>
      </w:r>
      <w:r>
        <w:rPr>
          <w:rFonts w:hint="eastAsia" w:ascii="Times New Roman" w:hAnsi="Times New Roman" w:eastAsia="仿宋_GB2312" w:cs="Times New Roman"/>
          <w:sz w:val="32"/>
          <w:szCs w:val="32"/>
          <w:highlight w:val="none"/>
        </w:rPr>
        <w:t>三十</w:t>
      </w:r>
      <w:r>
        <w:rPr>
          <w:rFonts w:hint="eastAsia" w:ascii="Times New Roman" w:hAnsi="Times New Roman" w:eastAsia="仿宋_GB2312" w:cs="Times New Roman"/>
          <w:sz w:val="32"/>
          <w:szCs w:val="32"/>
          <w:highlight w:val="none"/>
          <w:lang w:eastAsia="zh-CN"/>
        </w:rPr>
        <w:t>四</w:t>
      </w:r>
      <w:r>
        <w:rPr>
          <w:rFonts w:hint="eastAsia" w:ascii="Times New Roman" w:hAnsi="Times New Roman" w:eastAsia="仿宋_GB2312" w:cs="Times New Roman"/>
          <w:sz w:val="32"/>
          <w:szCs w:val="32"/>
          <w:highlight w:val="none"/>
        </w:rPr>
        <w:t>条规定的，责令其限期改正，没收违法所得，并处违法所得1倍以上5倍以下的罚款；没有违法所得或者违法所得不足100万元的，处以10万元以上100万元以下的罚款。</w:t>
      </w:r>
    </w:p>
    <w:p>
      <w:pPr>
        <w:spacing w:line="600" w:lineRule="exact"/>
        <w:ind w:firstLine="640" w:firstLineChars="200"/>
        <w:rPr>
          <w:rFonts w:ascii="Times New Roman" w:hAnsi="Times New Roman" w:eastAsia="仿宋_GB2312" w:cs="Times New Roman"/>
          <w:b/>
          <w:sz w:val="32"/>
          <w:szCs w:val="32"/>
          <w:highlight w:val="none"/>
        </w:rPr>
      </w:pPr>
      <w:r>
        <w:rPr>
          <w:rFonts w:hint="eastAsia" w:ascii="Times New Roman" w:hAnsi="Times New Roman" w:eastAsia="黑体" w:cs="Times New Roman"/>
          <w:color w:val="000000"/>
          <w:sz w:val="32"/>
          <w:szCs w:val="28"/>
          <w:highlight w:val="none"/>
        </w:rPr>
        <w:t>第五十</w:t>
      </w:r>
      <w:r>
        <w:rPr>
          <w:rFonts w:hint="eastAsia" w:ascii="Times New Roman" w:hAnsi="Times New Roman" w:eastAsia="黑体" w:cs="Times New Roman"/>
          <w:color w:val="000000"/>
          <w:sz w:val="32"/>
          <w:szCs w:val="28"/>
          <w:highlight w:val="none"/>
          <w:lang w:eastAsia="zh-CN"/>
        </w:rPr>
        <w:t>四</w:t>
      </w:r>
      <w:r>
        <w:rPr>
          <w:rFonts w:hint="eastAsia" w:ascii="Times New Roman" w:hAnsi="Times New Roman" w:eastAsia="黑体" w:cs="Times New Roman"/>
          <w:color w:val="000000"/>
          <w:sz w:val="32"/>
          <w:szCs w:val="28"/>
          <w:highlight w:val="none"/>
        </w:rPr>
        <w:t>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投资管理人违反本办法第四十</w:t>
      </w:r>
      <w:r>
        <w:rPr>
          <w:rFonts w:hint="eastAsia" w:ascii="Times New Roman" w:hAnsi="Times New Roman" w:eastAsia="仿宋_GB2312" w:cs="Times New Roman"/>
          <w:sz w:val="32"/>
          <w:szCs w:val="32"/>
          <w:highlight w:val="none"/>
          <w:lang w:eastAsia="zh-CN"/>
        </w:rPr>
        <w:t>七</w:t>
      </w:r>
      <w:r>
        <w:rPr>
          <w:rFonts w:hint="eastAsia" w:ascii="Times New Roman" w:hAnsi="Times New Roman" w:eastAsia="仿宋_GB2312" w:cs="Times New Roman"/>
          <w:sz w:val="32"/>
          <w:szCs w:val="32"/>
          <w:highlight w:val="none"/>
        </w:rPr>
        <w:t>条规定，托管人违反本办法第四十</w:t>
      </w:r>
      <w:r>
        <w:rPr>
          <w:rFonts w:hint="eastAsia" w:ascii="Times New Roman" w:hAnsi="Times New Roman" w:eastAsia="仿宋_GB2312" w:cs="Times New Roman"/>
          <w:sz w:val="32"/>
          <w:szCs w:val="32"/>
          <w:highlight w:val="none"/>
          <w:lang w:eastAsia="zh-CN"/>
        </w:rPr>
        <w:t>八</w:t>
      </w:r>
      <w:r>
        <w:rPr>
          <w:rFonts w:hint="eastAsia" w:ascii="Times New Roman" w:hAnsi="Times New Roman" w:eastAsia="仿宋_GB2312" w:cs="Times New Roman"/>
          <w:sz w:val="32"/>
          <w:szCs w:val="32"/>
          <w:highlight w:val="none"/>
        </w:rPr>
        <w:t>条规定，责令其限期改正，并处以10万元以</w:t>
      </w:r>
      <w:r>
        <w:rPr>
          <w:rFonts w:hint="eastAsia" w:ascii="Times New Roman" w:hAnsi="Times New Roman" w:eastAsia="仿宋_GB2312" w:cs="Times New Roman"/>
          <w:sz w:val="32"/>
          <w:szCs w:val="32"/>
          <w:highlight w:val="none"/>
          <w:lang w:eastAsia="zh-CN"/>
        </w:rPr>
        <w:t>上</w:t>
      </w:r>
      <w:r>
        <w:rPr>
          <w:rFonts w:hint="eastAsia" w:ascii="Times New Roman" w:hAnsi="Times New Roman" w:eastAsia="仿宋_GB2312" w:cs="Times New Roman"/>
          <w:sz w:val="32"/>
          <w:szCs w:val="32"/>
          <w:highlight w:val="none"/>
          <w:lang w:val="en-US" w:eastAsia="zh-CN"/>
        </w:rPr>
        <w:t>100万元以下</w:t>
      </w:r>
      <w:r>
        <w:rPr>
          <w:rFonts w:hint="eastAsia" w:ascii="Times New Roman" w:hAnsi="Times New Roman" w:eastAsia="仿宋_GB2312" w:cs="Times New Roman"/>
          <w:sz w:val="32"/>
          <w:szCs w:val="32"/>
          <w:highlight w:val="none"/>
        </w:rPr>
        <w:t>的罚款。</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第五十</w:t>
      </w:r>
      <w:r>
        <w:rPr>
          <w:rFonts w:hint="eastAsia" w:ascii="Times New Roman" w:hAnsi="Times New Roman" w:eastAsia="黑体" w:cs="Times New Roman"/>
          <w:color w:val="000000"/>
          <w:sz w:val="32"/>
          <w:szCs w:val="28"/>
          <w:highlight w:val="none"/>
          <w:lang w:eastAsia="zh-CN"/>
        </w:rPr>
        <w:t>五</w:t>
      </w:r>
      <w:r>
        <w:rPr>
          <w:rFonts w:hint="eastAsia" w:ascii="Times New Roman" w:hAnsi="Times New Roman" w:eastAsia="黑体" w:cs="Times New Roman"/>
          <w:color w:val="000000"/>
          <w:sz w:val="32"/>
          <w:szCs w:val="28"/>
          <w:highlight w:val="none"/>
        </w:rPr>
        <w:t>条</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投资管理人或者托管人营私舞弊，违规操作，不履行其委托资产管理或托管职责的，或者严重失职，造成全国社保基金重大损失的，除依法处以相应金额的罚款外，还</w:t>
      </w:r>
      <w:r>
        <w:rPr>
          <w:rFonts w:hint="eastAsia" w:ascii="Times New Roman" w:hAnsi="Times New Roman" w:eastAsia="仿宋_GB2312" w:cs="Times New Roman"/>
          <w:sz w:val="32"/>
          <w:szCs w:val="32"/>
          <w:highlight w:val="none"/>
          <w:lang w:eastAsia="zh-CN"/>
        </w:rPr>
        <w:t>应当</w:t>
      </w:r>
      <w:r>
        <w:rPr>
          <w:rFonts w:hint="eastAsia" w:ascii="Times New Roman" w:hAnsi="Times New Roman" w:eastAsia="仿宋_GB2312" w:cs="Times New Roman"/>
          <w:sz w:val="32"/>
          <w:szCs w:val="32"/>
          <w:highlight w:val="none"/>
        </w:rPr>
        <w:t>按照本办法规定及合同约定予以更换或退任。</w:t>
      </w:r>
    </w:p>
    <w:p>
      <w:pPr>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第五十</w:t>
      </w:r>
      <w:r>
        <w:rPr>
          <w:rFonts w:hint="eastAsia" w:ascii="Times New Roman" w:hAnsi="Times New Roman" w:eastAsia="黑体" w:cs="Times New Roman"/>
          <w:color w:val="000000"/>
          <w:sz w:val="32"/>
          <w:szCs w:val="28"/>
          <w:highlight w:val="none"/>
          <w:lang w:eastAsia="zh-CN"/>
        </w:rPr>
        <w:t>六</w:t>
      </w:r>
      <w:r>
        <w:rPr>
          <w:rFonts w:hint="eastAsia" w:ascii="Times New Roman" w:hAnsi="Times New Roman" w:eastAsia="黑体" w:cs="Times New Roman"/>
          <w:color w:val="000000"/>
          <w:sz w:val="32"/>
          <w:szCs w:val="28"/>
          <w:highlight w:val="none"/>
        </w:rPr>
        <w:t>条</w:t>
      </w:r>
      <w:r>
        <w:rPr>
          <w:rFonts w:hint="eastAsia" w:ascii="Times New Roman" w:hAnsi="Times New Roman" w:eastAsia="仿宋_GB2312" w:cs="Times New Roman"/>
          <w:sz w:val="32"/>
          <w:szCs w:val="32"/>
          <w:highlight w:val="none"/>
        </w:rPr>
        <w:t xml:space="preserve"> 本办法第</w:t>
      </w:r>
      <w:r>
        <w:rPr>
          <w:rFonts w:hint="eastAsia" w:ascii="Times New Roman" w:hAnsi="Times New Roman" w:eastAsia="仿宋_GB2312" w:cs="Times New Roman"/>
          <w:sz w:val="32"/>
          <w:szCs w:val="32"/>
          <w:highlight w:val="none"/>
          <w:lang w:eastAsia="zh-CN"/>
        </w:rPr>
        <w:t>四十九</w:t>
      </w:r>
      <w:r>
        <w:rPr>
          <w:rFonts w:hint="eastAsia" w:ascii="Times New Roman" w:hAnsi="Times New Roman" w:eastAsia="仿宋_GB2312" w:cs="Times New Roman"/>
          <w:sz w:val="32"/>
          <w:szCs w:val="32"/>
          <w:highlight w:val="none"/>
        </w:rPr>
        <w:t>条至第五十</w:t>
      </w:r>
      <w:r>
        <w:rPr>
          <w:rFonts w:hint="eastAsia" w:ascii="Times New Roman" w:hAnsi="Times New Roman" w:eastAsia="仿宋_GB2312" w:cs="Times New Roman"/>
          <w:sz w:val="32"/>
          <w:szCs w:val="32"/>
          <w:highlight w:val="none"/>
          <w:lang w:eastAsia="zh-CN"/>
        </w:rPr>
        <w:t>五</w:t>
      </w:r>
      <w:r>
        <w:rPr>
          <w:rFonts w:hint="eastAsia" w:ascii="Times New Roman" w:hAnsi="Times New Roman" w:eastAsia="仿宋_GB2312" w:cs="Times New Roman"/>
          <w:sz w:val="32"/>
          <w:szCs w:val="32"/>
          <w:highlight w:val="none"/>
        </w:rPr>
        <w:t>条规定的处罚，由国务院</w:t>
      </w:r>
      <w:r>
        <w:rPr>
          <w:rFonts w:hint="eastAsia" w:ascii="Times New Roman" w:hAnsi="Times New Roman" w:eastAsia="仿宋_GB2312" w:cs="Times New Roman"/>
          <w:sz w:val="32"/>
          <w:szCs w:val="32"/>
          <w:highlight w:val="none"/>
          <w:lang w:eastAsia="zh-CN"/>
        </w:rPr>
        <w:t>证券监督管理机构、国务院银行业监督管理机构</w:t>
      </w:r>
      <w:r>
        <w:rPr>
          <w:rFonts w:hint="eastAsia" w:ascii="Times New Roman" w:hAnsi="Times New Roman" w:eastAsia="仿宋_GB2312" w:cs="Times New Roman"/>
          <w:sz w:val="32"/>
          <w:szCs w:val="32"/>
          <w:highlight w:val="none"/>
        </w:rPr>
        <w:t>按照各自职权做出处罚决定；对违反本办法的同一行为不得给予两次以上的处罚。</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Times New Roman"/>
          <w:color w:val="000000"/>
          <w:sz w:val="32"/>
          <w:szCs w:val="28"/>
          <w:highlight w:val="none"/>
        </w:rPr>
        <w:t>第五十</w:t>
      </w:r>
      <w:r>
        <w:rPr>
          <w:rFonts w:hint="eastAsia" w:ascii="Times New Roman" w:hAnsi="Times New Roman" w:eastAsia="黑体" w:cs="Times New Roman"/>
          <w:color w:val="000000"/>
          <w:sz w:val="32"/>
          <w:szCs w:val="28"/>
          <w:highlight w:val="none"/>
          <w:lang w:eastAsia="zh-CN"/>
        </w:rPr>
        <w:t>七</w:t>
      </w:r>
      <w:r>
        <w:rPr>
          <w:rFonts w:hint="eastAsia" w:ascii="Times New Roman" w:hAnsi="Times New Roman" w:eastAsia="黑体" w:cs="Times New Roman"/>
          <w:color w:val="000000"/>
          <w:sz w:val="32"/>
          <w:szCs w:val="28"/>
          <w:highlight w:val="none"/>
        </w:rPr>
        <w:t xml:space="preserve">条 </w:t>
      </w:r>
      <w:r>
        <w:rPr>
          <w:rFonts w:hint="eastAsia" w:ascii="仿宋_GB2312" w:eastAsia="仿宋_GB2312"/>
          <w:sz w:val="32"/>
          <w:szCs w:val="32"/>
          <w:highlight w:val="none"/>
        </w:rPr>
        <w:t>社保基金会违反本办法规定的，由</w:t>
      </w:r>
      <w:r>
        <w:rPr>
          <w:rFonts w:hint="eastAsia" w:ascii="仿宋_GB2312" w:eastAsia="仿宋_GB2312"/>
          <w:sz w:val="32"/>
          <w:szCs w:val="32"/>
          <w:highlight w:val="none"/>
          <w:lang w:eastAsia="zh-CN"/>
        </w:rPr>
        <w:t>财政部、人力资源社会保障部</w:t>
      </w:r>
      <w:r>
        <w:rPr>
          <w:rFonts w:hint="eastAsia" w:ascii="仿宋_GB2312" w:eastAsia="仿宋_GB2312"/>
          <w:sz w:val="32"/>
          <w:szCs w:val="32"/>
          <w:highlight w:val="none"/>
        </w:rPr>
        <w:t>责令改正。对违法违规行为按照国家有关法律法规进行处罚。</w:t>
      </w:r>
    </w:p>
    <w:p>
      <w:pPr>
        <w:spacing w:before="156" w:beforeLines="50" w:after="156" w:afterLines="50" w:line="600" w:lineRule="exact"/>
        <w:jc w:val="center"/>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第十章</w:t>
      </w:r>
      <w:r>
        <w:rPr>
          <w:rFonts w:ascii="Times New Roman" w:hAnsi="Times New Roman" w:eastAsia="黑体" w:cs="Times New Roman"/>
          <w:sz w:val="32"/>
          <w:szCs w:val="32"/>
          <w:highlight w:val="none"/>
        </w:rPr>
        <w:t xml:space="preserve"> </w:t>
      </w:r>
      <w:r>
        <w:rPr>
          <w:rFonts w:hint="eastAsia" w:ascii="Times New Roman" w:hAnsi="Times New Roman" w:eastAsia="黑体" w:cs="Times New Roman"/>
          <w:sz w:val="32"/>
          <w:szCs w:val="32"/>
          <w:highlight w:val="none"/>
        </w:rPr>
        <w:t>附则</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color w:val="000000"/>
          <w:sz w:val="32"/>
          <w:szCs w:val="28"/>
          <w:highlight w:val="none"/>
        </w:rPr>
        <w:t>第五十</w:t>
      </w:r>
      <w:r>
        <w:rPr>
          <w:rFonts w:hint="eastAsia" w:ascii="Times New Roman" w:hAnsi="Times New Roman" w:eastAsia="黑体" w:cs="Times New Roman"/>
          <w:color w:val="000000"/>
          <w:sz w:val="32"/>
          <w:szCs w:val="28"/>
          <w:highlight w:val="none"/>
          <w:lang w:eastAsia="zh-CN"/>
        </w:rPr>
        <w:t>八</w:t>
      </w:r>
      <w:r>
        <w:rPr>
          <w:rFonts w:hint="eastAsia" w:ascii="Times New Roman" w:hAnsi="Times New Roman" w:eastAsia="黑体" w:cs="Times New Roman"/>
          <w:color w:val="000000"/>
          <w:sz w:val="32"/>
          <w:szCs w:val="28"/>
          <w:highlight w:val="none"/>
        </w:rPr>
        <w:t xml:space="preserve">条 </w:t>
      </w:r>
      <w:r>
        <w:rPr>
          <w:rFonts w:hint="eastAsia" w:ascii="Times New Roman" w:hAnsi="Times New Roman" w:eastAsia="仿宋_GB2312" w:cs="Times New Roman"/>
          <w:sz w:val="32"/>
          <w:szCs w:val="32"/>
          <w:highlight w:val="none"/>
        </w:rPr>
        <w:t>本办法自X年X月X日起施</w:t>
      </w:r>
      <w:r>
        <w:rPr>
          <w:rFonts w:hint="eastAsia" w:ascii="Times New Roman" w:hAnsi="Times New Roman" w:eastAsia="仿宋_GB2312" w:cs="Times New Roman"/>
          <w:sz w:val="32"/>
          <w:szCs w:val="32"/>
        </w:rPr>
        <w:t>行,《全国社会保障基金投资管理暂行办法》同时废止。</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7804578"/>
    </w:sdtPr>
    <w:sdtContent>
      <w:p>
        <w:pPr>
          <w:pStyle w:val="4"/>
          <w:jc w:val="center"/>
        </w:pPr>
        <w:r>
          <w:fldChar w:fldCharType="begin"/>
        </w:r>
        <w:r>
          <w:instrText xml:space="preserve">PAGE   \* MERGEFORMAT</w:instrText>
        </w:r>
        <w:r>
          <w:fldChar w:fldCharType="separate"/>
        </w:r>
        <w:r>
          <w:rPr>
            <w:lang w:val="zh-CN"/>
          </w:rPr>
          <w:t>13</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wYjdkNWE4ZDQ4OTA4NWVkM2I0MzU3NmI2ZGQ1NzkifQ=="/>
  </w:docVars>
  <w:rsids>
    <w:rsidRoot w:val="00F04053"/>
    <w:rsid w:val="0000639E"/>
    <w:rsid w:val="000139A5"/>
    <w:rsid w:val="000172CB"/>
    <w:rsid w:val="00017AF6"/>
    <w:rsid w:val="00034C24"/>
    <w:rsid w:val="00041EDE"/>
    <w:rsid w:val="000516C0"/>
    <w:rsid w:val="00051B43"/>
    <w:rsid w:val="000524B1"/>
    <w:rsid w:val="00052CB4"/>
    <w:rsid w:val="00056289"/>
    <w:rsid w:val="00056BD6"/>
    <w:rsid w:val="00066A49"/>
    <w:rsid w:val="00067FAC"/>
    <w:rsid w:val="0007055E"/>
    <w:rsid w:val="00071F9D"/>
    <w:rsid w:val="00075EEA"/>
    <w:rsid w:val="0008024B"/>
    <w:rsid w:val="00086DBE"/>
    <w:rsid w:val="000907FC"/>
    <w:rsid w:val="00094B3A"/>
    <w:rsid w:val="000A039B"/>
    <w:rsid w:val="000A0EDA"/>
    <w:rsid w:val="000A2DE7"/>
    <w:rsid w:val="000A45B6"/>
    <w:rsid w:val="000A609A"/>
    <w:rsid w:val="000A64C1"/>
    <w:rsid w:val="000C160F"/>
    <w:rsid w:val="000C7267"/>
    <w:rsid w:val="000D02BA"/>
    <w:rsid w:val="000D0B82"/>
    <w:rsid w:val="000E3404"/>
    <w:rsid w:val="000E6DBE"/>
    <w:rsid w:val="000E7230"/>
    <w:rsid w:val="000F1FBA"/>
    <w:rsid w:val="000F439B"/>
    <w:rsid w:val="0010237D"/>
    <w:rsid w:val="00110B47"/>
    <w:rsid w:val="00110DDC"/>
    <w:rsid w:val="00113075"/>
    <w:rsid w:val="0011528A"/>
    <w:rsid w:val="0011624E"/>
    <w:rsid w:val="00117740"/>
    <w:rsid w:val="00120E24"/>
    <w:rsid w:val="0012300D"/>
    <w:rsid w:val="00130D85"/>
    <w:rsid w:val="001310BA"/>
    <w:rsid w:val="00133DF4"/>
    <w:rsid w:val="00133F0C"/>
    <w:rsid w:val="001402A9"/>
    <w:rsid w:val="001426F8"/>
    <w:rsid w:val="001600D9"/>
    <w:rsid w:val="00160426"/>
    <w:rsid w:val="00162F7A"/>
    <w:rsid w:val="001663D3"/>
    <w:rsid w:val="001666EC"/>
    <w:rsid w:val="0017034D"/>
    <w:rsid w:val="00176B32"/>
    <w:rsid w:val="00185543"/>
    <w:rsid w:val="00192888"/>
    <w:rsid w:val="00192C21"/>
    <w:rsid w:val="00195DEF"/>
    <w:rsid w:val="001A5B56"/>
    <w:rsid w:val="001B02C5"/>
    <w:rsid w:val="001B11D9"/>
    <w:rsid w:val="001C2E92"/>
    <w:rsid w:val="001C4F68"/>
    <w:rsid w:val="001D2C92"/>
    <w:rsid w:val="001D4842"/>
    <w:rsid w:val="001D6AA9"/>
    <w:rsid w:val="001E2043"/>
    <w:rsid w:val="001E69FB"/>
    <w:rsid w:val="001F5B04"/>
    <w:rsid w:val="00203D5E"/>
    <w:rsid w:val="00210AF1"/>
    <w:rsid w:val="0021109B"/>
    <w:rsid w:val="00213438"/>
    <w:rsid w:val="002204F8"/>
    <w:rsid w:val="00220C5F"/>
    <w:rsid w:val="002250A8"/>
    <w:rsid w:val="00233AAC"/>
    <w:rsid w:val="002351B6"/>
    <w:rsid w:val="00237656"/>
    <w:rsid w:val="002423EA"/>
    <w:rsid w:val="00244565"/>
    <w:rsid w:val="002532D6"/>
    <w:rsid w:val="00253A2A"/>
    <w:rsid w:val="00263148"/>
    <w:rsid w:val="002658EB"/>
    <w:rsid w:val="00271EBD"/>
    <w:rsid w:val="00295558"/>
    <w:rsid w:val="00295EBD"/>
    <w:rsid w:val="0029699E"/>
    <w:rsid w:val="002A7D63"/>
    <w:rsid w:val="002B06BA"/>
    <w:rsid w:val="002B2D46"/>
    <w:rsid w:val="002B7A08"/>
    <w:rsid w:val="002B7C7B"/>
    <w:rsid w:val="002C31B2"/>
    <w:rsid w:val="002C6325"/>
    <w:rsid w:val="002D025C"/>
    <w:rsid w:val="002D38B9"/>
    <w:rsid w:val="002D499B"/>
    <w:rsid w:val="002D4C88"/>
    <w:rsid w:val="002D4FC5"/>
    <w:rsid w:val="002D7ECF"/>
    <w:rsid w:val="002E18CF"/>
    <w:rsid w:val="002E2A46"/>
    <w:rsid w:val="002E7BA7"/>
    <w:rsid w:val="002F75B6"/>
    <w:rsid w:val="00300E61"/>
    <w:rsid w:val="0030286A"/>
    <w:rsid w:val="00302D8D"/>
    <w:rsid w:val="0030431F"/>
    <w:rsid w:val="00312829"/>
    <w:rsid w:val="00313451"/>
    <w:rsid w:val="00313E89"/>
    <w:rsid w:val="00320167"/>
    <w:rsid w:val="003350DC"/>
    <w:rsid w:val="00340D07"/>
    <w:rsid w:val="003415AF"/>
    <w:rsid w:val="00345DFA"/>
    <w:rsid w:val="00351894"/>
    <w:rsid w:val="003530DC"/>
    <w:rsid w:val="00356B25"/>
    <w:rsid w:val="00366620"/>
    <w:rsid w:val="00374A0D"/>
    <w:rsid w:val="0038437A"/>
    <w:rsid w:val="0039297C"/>
    <w:rsid w:val="003943E3"/>
    <w:rsid w:val="003951BF"/>
    <w:rsid w:val="00396B38"/>
    <w:rsid w:val="00397476"/>
    <w:rsid w:val="003A057F"/>
    <w:rsid w:val="003A0D8D"/>
    <w:rsid w:val="003A0E7E"/>
    <w:rsid w:val="003C53B3"/>
    <w:rsid w:val="003D3DF2"/>
    <w:rsid w:val="003D519A"/>
    <w:rsid w:val="003E5BDF"/>
    <w:rsid w:val="003F1407"/>
    <w:rsid w:val="003F3577"/>
    <w:rsid w:val="003F5783"/>
    <w:rsid w:val="00400D78"/>
    <w:rsid w:val="00401EFC"/>
    <w:rsid w:val="00402D6D"/>
    <w:rsid w:val="004078A6"/>
    <w:rsid w:val="00410F43"/>
    <w:rsid w:val="004118A6"/>
    <w:rsid w:val="004119ED"/>
    <w:rsid w:val="0041246F"/>
    <w:rsid w:val="00420E94"/>
    <w:rsid w:val="00434E87"/>
    <w:rsid w:val="0044247C"/>
    <w:rsid w:val="004445A0"/>
    <w:rsid w:val="00444980"/>
    <w:rsid w:val="00446421"/>
    <w:rsid w:val="00451180"/>
    <w:rsid w:val="0045398E"/>
    <w:rsid w:val="0046592E"/>
    <w:rsid w:val="004707BB"/>
    <w:rsid w:val="00481F90"/>
    <w:rsid w:val="004852C0"/>
    <w:rsid w:val="00492A2D"/>
    <w:rsid w:val="00494301"/>
    <w:rsid w:val="00496405"/>
    <w:rsid w:val="004A1993"/>
    <w:rsid w:val="004A65E3"/>
    <w:rsid w:val="004A7B94"/>
    <w:rsid w:val="004B2BFE"/>
    <w:rsid w:val="004B4AA9"/>
    <w:rsid w:val="004B73B1"/>
    <w:rsid w:val="004C3AFA"/>
    <w:rsid w:val="004C4EB5"/>
    <w:rsid w:val="004D0F1F"/>
    <w:rsid w:val="004D1766"/>
    <w:rsid w:val="004D6C66"/>
    <w:rsid w:val="004D6EE1"/>
    <w:rsid w:val="004F55BD"/>
    <w:rsid w:val="004F7A8A"/>
    <w:rsid w:val="004F7AF1"/>
    <w:rsid w:val="005009EB"/>
    <w:rsid w:val="00520481"/>
    <w:rsid w:val="00522533"/>
    <w:rsid w:val="00525342"/>
    <w:rsid w:val="0053037C"/>
    <w:rsid w:val="00530A27"/>
    <w:rsid w:val="0053698A"/>
    <w:rsid w:val="005373A2"/>
    <w:rsid w:val="00541210"/>
    <w:rsid w:val="005523FF"/>
    <w:rsid w:val="005536B7"/>
    <w:rsid w:val="0055585C"/>
    <w:rsid w:val="00564EA1"/>
    <w:rsid w:val="005728A4"/>
    <w:rsid w:val="00577B25"/>
    <w:rsid w:val="005810E6"/>
    <w:rsid w:val="0058331A"/>
    <w:rsid w:val="0058713F"/>
    <w:rsid w:val="00590C89"/>
    <w:rsid w:val="00595D56"/>
    <w:rsid w:val="00596FB4"/>
    <w:rsid w:val="005B08B4"/>
    <w:rsid w:val="005B1E8D"/>
    <w:rsid w:val="005B4052"/>
    <w:rsid w:val="005B5349"/>
    <w:rsid w:val="005C7C83"/>
    <w:rsid w:val="005D0FE5"/>
    <w:rsid w:val="005D2B01"/>
    <w:rsid w:val="005D38F4"/>
    <w:rsid w:val="005F0003"/>
    <w:rsid w:val="005F0619"/>
    <w:rsid w:val="00600A62"/>
    <w:rsid w:val="00601F01"/>
    <w:rsid w:val="0060396A"/>
    <w:rsid w:val="00606A99"/>
    <w:rsid w:val="00606F23"/>
    <w:rsid w:val="006112F9"/>
    <w:rsid w:val="006129A7"/>
    <w:rsid w:val="00614DA8"/>
    <w:rsid w:val="00621B37"/>
    <w:rsid w:val="006264A7"/>
    <w:rsid w:val="006269AA"/>
    <w:rsid w:val="00631BA3"/>
    <w:rsid w:val="0064451F"/>
    <w:rsid w:val="00644D29"/>
    <w:rsid w:val="00645E8B"/>
    <w:rsid w:val="006508F0"/>
    <w:rsid w:val="00655AD9"/>
    <w:rsid w:val="00657350"/>
    <w:rsid w:val="006632EB"/>
    <w:rsid w:val="006653D3"/>
    <w:rsid w:val="00667990"/>
    <w:rsid w:val="00671B01"/>
    <w:rsid w:val="00674B4C"/>
    <w:rsid w:val="006767F1"/>
    <w:rsid w:val="00683410"/>
    <w:rsid w:val="00687F20"/>
    <w:rsid w:val="00695194"/>
    <w:rsid w:val="006A1A86"/>
    <w:rsid w:val="006A30FD"/>
    <w:rsid w:val="006A7EAE"/>
    <w:rsid w:val="006B160F"/>
    <w:rsid w:val="006B2CE4"/>
    <w:rsid w:val="006B3522"/>
    <w:rsid w:val="006B5833"/>
    <w:rsid w:val="006B5F92"/>
    <w:rsid w:val="006C5DCF"/>
    <w:rsid w:val="006D4560"/>
    <w:rsid w:val="006D782F"/>
    <w:rsid w:val="006E0CE1"/>
    <w:rsid w:val="006F0EF1"/>
    <w:rsid w:val="006F479C"/>
    <w:rsid w:val="006F7A1A"/>
    <w:rsid w:val="0070086F"/>
    <w:rsid w:val="007040EF"/>
    <w:rsid w:val="00704E78"/>
    <w:rsid w:val="0071054F"/>
    <w:rsid w:val="00710CFC"/>
    <w:rsid w:val="00713BAF"/>
    <w:rsid w:val="00715EEE"/>
    <w:rsid w:val="007236F9"/>
    <w:rsid w:val="00754C94"/>
    <w:rsid w:val="007561D5"/>
    <w:rsid w:val="00756679"/>
    <w:rsid w:val="0075763E"/>
    <w:rsid w:val="007604F4"/>
    <w:rsid w:val="007618AA"/>
    <w:rsid w:val="00764A55"/>
    <w:rsid w:val="0077071C"/>
    <w:rsid w:val="00773023"/>
    <w:rsid w:val="007767EA"/>
    <w:rsid w:val="00776CEC"/>
    <w:rsid w:val="00776FF9"/>
    <w:rsid w:val="00783004"/>
    <w:rsid w:val="007835F3"/>
    <w:rsid w:val="00792284"/>
    <w:rsid w:val="007A6CA3"/>
    <w:rsid w:val="007A7549"/>
    <w:rsid w:val="007C3FAC"/>
    <w:rsid w:val="007C79E6"/>
    <w:rsid w:val="007D35A4"/>
    <w:rsid w:val="007D558D"/>
    <w:rsid w:val="007F43DF"/>
    <w:rsid w:val="007F5C14"/>
    <w:rsid w:val="007F63EF"/>
    <w:rsid w:val="00815F18"/>
    <w:rsid w:val="0082520E"/>
    <w:rsid w:val="00825C72"/>
    <w:rsid w:val="00831000"/>
    <w:rsid w:val="00833D4B"/>
    <w:rsid w:val="00834951"/>
    <w:rsid w:val="00836148"/>
    <w:rsid w:val="0085656A"/>
    <w:rsid w:val="0086721E"/>
    <w:rsid w:val="00870E00"/>
    <w:rsid w:val="00876A36"/>
    <w:rsid w:val="00877D31"/>
    <w:rsid w:val="00881D46"/>
    <w:rsid w:val="00884B4C"/>
    <w:rsid w:val="00890256"/>
    <w:rsid w:val="00893BA2"/>
    <w:rsid w:val="008A20D1"/>
    <w:rsid w:val="008B24C1"/>
    <w:rsid w:val="008B3DF0"/>
    <w:rsid w:val="008B437F"/>
    <w:rsid w:val="008B5902"/>
    <w:rsid w:val="008B5D18"/>
    <w:rsid w:val="008C51A8"/>
    <w:rsid w:val="008D2192"/>
    <w:rsid w:val="008D3600"/>
    <w:rsid w:val="00905B8D"/>
    <w:rsid w:val="009126AC"/>
    <w:rsid w:val="0093628C"/>
    <w:rsid w:val="0094476D"/>
    <w:rsid w:val="009459C7"/>
    <w:rsid w:val="00950D4A"/>
    <w:rsid w:val="009642B5"/>
    <w:rsid w:val="00972B81"/>
    <w:rsid w:val="00974CFB"/>
    <w:rsid w:val="00985D18"/>
    <w:rsid w:val="009934A5"/>
    <w:rsid w:val="009934CC"/>
    <w:rsid w:val="00997B71"/>
    <w:rsid w:val="009A6A61"/>
    <w:rsid w:val="009B009C"/>
    <w:rsid w:val="009B04BC"/>
    <w:rsid w:val="009C2379"/>
    <w:rsid w:val="009C5806"/>
    <w:rsid w:val="009C7F48"/>
    <w:rsid w:val="009D073B"/>
    <w:rsid w:val="009D337A"/>
    <w:rsid w:val="009D5747"/>
    <w:rsid w:val="009D576D"/>
    <w:rsid w:val="009E4F04"/>
    <w:rsid w:val="009E71B5"/>
    <w:rsid w:val="00A0477B"/>
    <w:rsid w:val="00A1010A"/>
    <w:rsid w:val="00A12B57"/>
    <w:rsid w:val="00A30342"/>
    <w:rsid w:val="00A30731"/>
    <w:rsid w:val="00A424F3"/>
    <w:rsid w:val="00A42A76"/>
    <w:rsid w:val="00A42B7C"/>
    <w:rsid w:val="00A42BDD"/>
    <w:rsid w:val="00A43EAF"/>
    <w:rsid w:val="00A451B6"/>
    <w:rsid w:val="00A45E45"/>
    <w:rsid w:val="00A506C3"/>
    <w:rsid w:val="00A5133A"/>
    <w:rsid w:val="00A54164"/>
    <w:rsid w:val="00A56BF3"/>
    <w:rsid w:val="00A57C60"/>
    <w:rsid w:val="00A71D82"/>
    <w:rsid w:val="00A71FE7"/>
    <w:rsid w:val="00A75E03"/>
    <w:rsid w:val="00A84872"/>
    <w:rsid w:val="00AA4D8D"/>
    <w:rsid w:val="00AA76FB"/>
    <w:rsid w:val="00AB3287"/>
    <w:rsid w:val="00AB446D"/>
    <w:rsid w:val="00AB4FC4"/>
    <w:rsid w:val="00AC1337"/>
    <w:rsid w:val="00AC1D1B"/>
    <w:rsid w:val="00AC2005"/>
    <w:rsid w:val="00AC74AD"/>
    <w:rsid w:val="00AD229D"/>
    <w:rsid w:val="00AD6B22"/>
    <w:rsid w:val="00AE2487"/>
    <w:rsid w:val="00AE7303"/>
    <w:rsid w:val="00AF1E68"/>
    <w:rsid w:val="00AF7A57"/>
    <w:rsid w:val="00B00110"/>
    <w:rsid w:val="00B01121"/>
    <w:rsid w:val="00B02F66"/>
    <w:rsid w:val="00B0457D"/>
    <w:rsid w:val="00B10A99"/>
    <w:rsid w:val="00B24A7C"/>
    <w:rsid w:val="00B32EB6"/>
    <w:rsid w:val="00B33FC5"/>
    <w:rsid w:val="00B377DD"/>
    <w:rsid w:val="00B53B4B"/>
    <w:rsid w:val="00B53B4F"/>
    <w:rsid w:val="00B6505D"/>
    <w:rsid w:val="00B656C4"/>
    <w:rsid w:val="00B66713"/>
    <w:rsid w:val="00B73330"/>
    <w:rsid w:val="00B751ED"/>
    <w:rsid w:val="00B77429"/>
    <w:rsid w:val="00B77982"/>
    <w:rsid w:val="00B83C23"/>
    <w:rsid w:val="00BA21B1"/>
    <w:rsid w:val="00BB19A9"/>
    <w:rsid w:val="00BB6486"/>
    <w:rsid w:val="00BB69DD"/>
    <w:rsid w:val="00BC15E7"/>
    <w:rsid w:val="00BC6044"/>
    <w:rsid w:val="00BD0244"/>
    <w:rsid w:val="00BD4E20"/>
    <w:rsid w:val="00BE46B4"/>
    <w:rsid w:val="00BF4D47"/>
    <w:rsid w:val="00BF6215"/>
    <w:rsid w:val="00BF7414"/>
    <w:rsid w:val="00BF7792"/>
    <w:rsid w:val="00C02A5F"/>
    <w:rsid w:val="00C10C05"/>
    <w:rsid w:val="00C11F78"/>
    <w:rsid w:val="00C16745"/>
    <w:rsid w:val="00C177E6"/>
    <w:rsid w:val="00C20E22"/>
    <w:rsid w:val="00C27D4B"/>
    <w:rsid w:val="00C30161"/>
    <w:rsid w:val="00C31115"/>
    <w:rsid w:val="00C33195"/>
    <w:rsid w:val="00C47496"/>
    <w:rsid w:val="00C56E5C"/>
    <w:rsid w:val="00C57C5D"/>
    <w:rsid w:val="00C63B65"/>
    <w:rsid w:val="00C70A0E"/>
    <w:rsid w:val="00C71DDA"/>
    <w:rsid w:val="00C75EAC"/>
    <w:rsid w:val="00C83CD3"/>
    <w:rsid w:val="00C91CB7"/>
    <w:rsid w:val="00C93507"/>
    <w:rsid w:val="00C968E3"/>
    <w:rsid w:val="00CB14C0"/>
    <w:rsid w:val="00CB5883"/>
    <w:rsid w:val="00CC41F0"/>
    <w:rsid w:val="00CD5CD7"/>
    <w:rsid w:val="00CD7EAE"/>
    <w:rsid w:val="00CE0310"/>
    <w:rsid w:val="00CE0692"/>
    <w:rsid w:val="00CE1426"/>
    <w:rsid w:val="00CE4438"/>
    <w:rsid w:val="00CE4C04"/>
    <w:rsid w:val="00CF0C77"/>
    <w:rsid w:val="00CF67DE"/>
    <w:rsid w:val="00D07A5D"/>
    <w:rsid w:val="00D219B6"/>
    <w:rsid w:val="00D22342"/>
    <w:rsid w:val="00D24C41"/>
    <w:rsid w:val="00D24F87"/>
    <w:rsid w:val="00D266A7"/>
    <w:rsid w:val="00D2686F"/>
    <w:rsid w:val="00D42E43"/>
    <w:rsid w:val="00D4427A"/>
    <w:rsid w:val="00D449FB"/>
    <w:rsid w:val="00D45335"/>
    <w:rsid w:val="00D46E07"/>
    <w:rsid w:val="00D53EA3"/>
    <w:rsid w:val="00D54936"/>
    <w:rsid w:val="00D64271"/>
    <w:rsid w:val="00D70205"/>
    <w:rsid w:val="00D71DBA"/>
    <w:rsid w:val="00D73E1B"/>
    <w:rsid w:val="00D741EE"/>
    <w:rsid w:val="00D93B51"/>
    <w:rsid w:val="00D95D08"/>
    <w:rsid w:val="00DA330B"/>
    <w:rsid w:val="00DA3780"/>
    <w:rsid w:val="00DA3E11"/>
    <w:rsid w:val="00DA584E"/>
    <w:rsid w:val="00DB095A"/>
    <w:rsid w:val="00DB603D"/>
    <w:rsid w:val="00DB77B3"/>
    <w:rsid w:val="00DD55C9"/>
    <w:rsid w:val="00DD7089"/>
    <w:rsid w:val="00DE0584"/>
    <w:rsid w:val="00DE088E"/>
    <w:rsid w:val="00DE2FDB"/>
    <w:rsid w:val="00DF4DBD"/>
    <w:rsid w:val="00E011F1"/>
    <w:rsid w:val="00E02574"/>
    <w:rsid w:val="00E0547E"/>
    <w:rsid w:val="00E062FD"/>
    <w:rsid w:val="00E06EC6"/>
    <w:rsid w:val="00E112F9"/>
    <w:rsid w:val="00E12331"/>
    <w:rsid w:val="00E16760"/>
    <w:rsid w:val="00E17EBA"/>
    <w:rsid w:val="00E22148"/>
    <w:rsid w:val="00E23379"/>
    <w:rsid w:val="00E23BEB"/>
    <w:rsid w:val="00E276F4"/>
    <w:rsid w:val="00E30DE5"/>
    <w:rsid w:val="00E321B8"/>
    <w:rsid w:val="00E34D4F"/>
    <w:rsid w:val="00E3778A"/>
    <w:rsid w:val="00E4168D"/>
    <w:rsid w:val="00E41725"/>
    <w:rsid w:val="00E42130"/>
    <w:rsid w:val="00E437F1"/>
    <w:rsid w:val="00E52F18"/>
    <w:rsid w:val="00E54A19"/>
    <w:rsid w:val="00E56DA6"/>
    <w:rsid w:val="00E619EE"/>
    <w:rsid w:val="00E66BF5"/>
    <w:rsid w:val="00E673DA"/>
    <w:rsid w:val="00E72AA1"/>
    <w:rsid w:val="00E744F4"/>
    <w:rsid w:val="00E82142"/>
    <w:rsid w:val="00E85F48"/>
    <w:rsid w:val="00E86A7D"/>
    <w:rsid w:val="00EA4DFF"/>
    <w:rsid w:val="00EA7378"/>
    <w:rsid w:val="00EB12C2"/>
    <w:rsid w:val="00EB1C94"/>
    <w:rsid w:val="00EB30F3"/>
    <w:rsid w:val="00EB45CD"/>
    <w:rsid w:val="00EB6B6E"/>
    <w:rsid w:val="00EC70A2"/>
    <w:rsid w:val="00EC7F3E"/>
    <w:rsid w:val="00EE2A64"/>
    <w:rsid w:val="00EE3CAB"/>
    <w:rsid w:val="00EE4409"/>
    <w:rsid w:val="00EF0830"/>
    <w:rsid w:val="00EF2CCC"/>
    <w:rsid w:val="00F00016"/>
    <w:rsid w:val="00F04053"/>
    <w:rsid w:val="00F042E5"/>
    <w:rsid w:val="00F05AC0"/>
    <w:rsid w:val="00F11BAE"/>
    <w:rsid w:val="00F12BD0"/>
    <w:rsid w:val="00F1764F"/>
    <w:rsid w:val="00F23134"/>
    <w:rsid w:val="00F24B4C"/>
    <w:rsid w:val="00F25DFE"/>
    <w:rsid w:val="00F273B3"/>
    <w:rsid w:val="00F37FBD"/>
    <w:rsid w:val="00F41763"/>
    <w:rsid w:val="00F4190F"/>
    <w:rsid w:val="00F41AE3"/>
    <w:rsid w:val="00F41C6B"/>
    <w:rsid w:val="00F43B95"/>
    <w:rsid w:val="00F46C6C"/>
    <w:rsid w:val="00F516BE"/>
    <w:rsid w:val="00F55305"/>
    <w:rsid w:val="00F5789A"/>
    <w:rsid w:val="00F7332E"/>
    <w:rsid w:val="00F7388D"/>
    <w:rsid w:val="00F73F71"/>
    <w:rsid w:val="00F861F7"/>
    <w:rsid w:val="00F86461"/>
    <w:rsid w:val="00FA0421"/>
    <w:rsid w:val="00FB2227"/>
    <w:rsid w:val="00FC44D0"/>
    <w:rsid w:val="00FD1417"/>
    <w:rsid w:val="00FD531B"/>
    <w:rsid w:val="00FD54B4"/>
    <w:rsid w:val="00FE22BF"/>
    <w:rsid w:val="00FF0F34"/>
    <w:rsid w:val="00FF31A3"/>
    <w:rsid w:val="1C7F5E82"/>
    <w:rsid w:val="1EFF86D7"/>
    <w:rsid w:val="1F7E94E1"/>
    <w:rsid w:val="2DBC01A1"/>
    <w:rsid w:val="2F7F0E53"/>
    <w:rsid w:val="377EFCB4"/>
    <w:rsid w:val="377FB917"/>
    <w:rsid w:val="37DE5373"/>
    <w:rsid w:val="3935FE22"/>
    <w:rsid w:val="3BE376DD"/>
    <w:rsid w:val="3BED7DC6"/>
    <w:rsid w:val="3BFE68CE"/>
    <w:rsid w:val="3DBFDAC6"/>
    <w:rsid w:val="3E327A83"/>
    <w:rsid w:val="3E7F6DF5"/>
    <w:rsid w:val="3F5F05EB"/>
    <w:rsid w:val="3F7B1583"/>
    <w:rsid w:val="3FDFA75A"/>
    <w:rsid w:val="3FEBCD84"/>
    <w:rsid w:val="3FF65E20"/>
    <w:rsid w:val="3FF9486F"/>
    <w:rsid w:val="3FFDDF3E"/>
    <w:rsid w:val="46BF4818"/>
    <w:rsid w:val="473E054E"/>
    <w:rsid w:val="4B7F01DF"/>
    <w:rsid w:val="4DFD9C03"/>
    <w:rsid w:val="4EDEFD53"/>
    <w:rsid w:val="53F9D549"/>
    <w:rsid w:val="53FF65BD"/>
    <w:rsid w:val="577FC4A5"/>
    <w:rsid w:val="57F5A9EE"/>
    <w:rsid w:val="57FBEC79"/>
    <w:rsid w:val="57FEB1BD"/>
    <w:rsid w:val="5EFD6DF8"/>
    <w:rsid w:val="5F5D1214"/>
    <w:rsid w:val="5FAEFA2C"/>
    <w:rsid w:val="5FDE228A"/>
    <w:rsid w:val="63531B2E"/>
    <w:rsid w:val="6BB95E00"/>
    <w:rsid w:val="6FBF869E"/>
    <w:rsid w:val="6FFE868D"/>
    <w:rsid w:val="75EF86B3"/>
    <w:rsid w:val="76DFD4D9"/>
    <w:rsid w:val="76F54FC9"/>
    <w:rsid w:val="78D66723"/>
    <w:rsid w:val="79DD6FCE"/>
    <w:rsid w:val="7B095FE9"/>
    <w:rsid w:val="7BDF43F8"/>
    <w:rsid w:val="7BE93842"/>
    <w:rsid w:val="7BFBD2DA"/>
    <w:rsid w:val="7BFFCF34"/>
    <w:rsid w:val="7CFEFD8D"/>
    <w:rsid w:val="7DBE51E5"/>
    <w:rsid w:val="7DFB9E16"/>
    <w:rsid w:val="7DFF6224"/>
    <w:rsid w:val="7ECF6DE6"/>
    <w:rsid w:val="7EFA77FB"/>
    <w:rsid w:val="7EFE6B64"/>
    <w:rsid w:val="7F33D7AC"/>
    <w:rsid w:val="7F57D5E0"/>
    <w:rsid w:val="7F7DA55E"/>
    <w:rsid w:val="7FE6507D"/>
    <w:rsid w:val="7FEBB6E9"/>
    <w:rsid w:val="7FFC02A2"/>
    <w:rsid w:val="8DEFEF7A"/>
    <w:rsid w:val="94D794FB"/>
    <w:rsid w:val="956F5A9E"/>
    <w:rsid w:val="97DFDA32"/>
    <w:rsid w:val="9F5B0B2D"/>
    <w:rsid w:val="9FFFD4B5"/>
    <w:rsid w:val="A7F1246D"/>
    <w:rsid w:val="ABFF58E4"/>
    <w:rsid w:val="ADEDD0A9"/>
    <w:rsid w:val="AF5E526A"/>
    <w:rsid w:val="AFF5251F"/>
    <w:rsid w:val="B7BBF9A8"/>
    <w:rsid w:val="BECE46FE"/>
    <w:rsid w:val="BED4A9FF"/>
    <w:rsid w:val="BFBD83AD"/>
    <w:rsid w:val="BFBFC5F4"/>
    <w:rsid w:val="BFF3FAD3"/>
    <w:rsid w:val="C7CE9007"/>
    <w:rsid w:val="C9FFFBA9"/>
    <w:rsid w:val="CFE6DAAD"/>
    <w:rsid w:val="CFEF5F74"/>
    <w:rsid w:val="CFF99D68"/>
    <w:rsid w:val="CFF9E448"/>
    <w:rsid w:val="D5FC7089"/>
    <w:rsid w:val="D6DE856C"/>
    <w:rsid w:val="DB2EBF47"/>
    <w:rsid w:val="DB7EB7EE"/>
    <w:rsid w:val="DCFF5B69"/>
    <w:rsid w:val="DE5F61B5"/>
    <w:rsid w:val="DE6FD27B"/>
    <w:rsid w:val="DEFB9E7B"/>
    <w:rsid w:val="DFFB771B"/>
    <w:rsid w:val="EB1BADE1"/>
    <w:rsid w:val="EBEF777F"/>
    <w:rsid w:val="EBF7E41D"/>
    <w:rsid w:val="ECD84507"/>
    <w:rsid w:val="ED7A6D48"/>
    <w:rsid w:val="EDBE2A9F"/>
    <w:rsid w:val="EDFFD50B"/>
    <w:rsid w:val="EEEA4EC3"/>
    <w:rsid w:val="EF7FB32D"/>
    <w:rsid w:val="F3BE5966"/>
    <w:rsid w:val="F5BCEA52"/>
    <w:rsid w:val="F5E30084"/>
    <w:rsid w:val="F5FF68F6"/>
    <w:rsid w:val="F69E3777"/>
    <w:rsid w:val="F6FF4A7E"/>
    <w:rsid w:val="F7BEFED8"/>
    <w:rsid w:val="F7DE695E"/>
    <w:rsid w:val="F7FDFB31"/>
    <w:rsid w:val="F7FF272A"/>
    <w:rsid w:val="F7FFE935"/>
    <w:rsid w:val="FBF3EA00"/>
    <w:rsid w:val="FC6573B4"/>
    <w:rsid w:val="FCF140AC"/>
    <w:rsid w:val="FE7D09AF"/>
    <w:rsid w:val="FEBA00D0"/>
    <w:rsid w:val="FEBE02F3"/>
    <w:rsid w:val="FEF7DE6E"/>
    <w:rsid w:val="FEFCC61E"/>
    <w:rsid w:val="FF7DB8E4"/>
    <w:rsid w:val="FF7E4C20"/>
    <w:rsid w:val="FF7EFA35"/>
    <w:rsid w:val="FF9D6321"/>
    <w:rsid w:val="FFBDD289"/>
    <w:rsid w:val="FFF356DF"/>
    <w:rsid w:val="FFFF0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9"/>
    <w:semiHidden/>
    <w:unhideWhenUsed/>
    <w:qFormat/>
    <w:uiPriority w:val="99"/>
    <w:pPr>
      <w:snapToGrid w:val="0"/>
      <w:jc w:val="left"/>
    </w:pPr>
    <w:rPr>
      <w:sz w:val="18"/>
      <w:szCs w:val="18"/>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22"/>
    <w:rPr>
      <w:b/>
      <w:bCs/>
    </w:rPr>
  </w:style>
  <w:style w:type="character" w:styleId="11">
    <w:name w:val="annotation reference"/>
    <w:basedOn w:val="9"/>
    <w:semiHidden/>
    <w:unhideWhenUsed/>
    <w:qFormat/>
    <w:uiPriority w:val="99"/>
    <w:rPr>
      <w:sz w:val="21"/>
      <w:szCs w:val="21"/>
    </w:rPr>
  </w:style>
  <w:style w:type="character" w:styleId="12">
    <w:name w:val="footnote reference"/>
    <w:basedOn w:val="9"/>
    <w:semiHidden/>
    <w:unhideWhenUsed/>
    <w:qFormat/>
    <w:uiPriority w:val="99"/>
    <w:rPr>
      <w:vertAlign w:val="superscript"/>
    </w:rPr>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character" w:customStyle="1" w:styleId="15">
    <w:name w:val="批注框文本 Char"/>
    <w:basedOn w:val="9"/>
    <w:link w:val="3"/>
    <w:semiHidden/>
    <w:qFormat/>
    <w:uiPriority w:val="99"/>
    <w:rPr>
      <w:sz w:val="18"/>
      <w:szCs w:val="18"/>
    </w:rPr>
  </w:style>
  <w:style w:type="character" w:customStyle="1" w:styleId="16">
    <w:name w:val="批注文字 Char"/>
    <w:basedOn w:val="9"/>
    <w:link w:val="2"/>
    <w:semiHidden/>
    <w:qFormat/>
    <w:uiPriority w:val="99"/>
  </w:style>
  <w:style w:type="character" w:customStyle="1" w:styleId="17">
    <w:name w:val="批注主题 Char"/>
    <w:basedOn w:val="16"/>
    <w:link w:val="7"/>
    <w:semiHidden/>
    <w:qFormat/>
    <w:uiPriority w:val="99"/>
    <w:rPr>
      <w:b/>
      <w:bCs/>
    </w:rPr>
  </w:style>
  <w:style w:type="paragraph" w:customStyle="1" w:styleId="1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9">
    <w:name w:val="脚注文本 Char"/>
    <w:basedOn w:val="9"/>
    <w:link w:val="6"/>
    <w:semiHidden/>
    <w:qFormat/>
    <w:uiPriority w:val="99"/>
    <w:rPr>
      <w:sz w:val="18"/>
      <w:szCs w:val="18"/>
    </w:rPr>
  </w:style>
  <w:style w:type="paragraph" w:styleId="20">
    <w:name w:val="List Paragraph"/>
    <w:basedOn w:val="1"/>
    <w:qFormat/>
    <w:uiPriority w:val="34"/>
    <w:pPr>
      <w:ind w:firstLine="420" w:firstLineChars="200"/>
    </w:pPr>
  </w:style>
  <w:style w:type="paragraph" w:customStyle="1" w:styleId="21">
    <w:name w:val="批注"/>
    <w:basedOn w:val="2"/>
    <w:qFormat/>
    <w:uiPriority w:val="0"/>
    <w:pPr>
      <w:spacing w:line="540" w:lineRule="exact"/>
      <w:ind w:firstLine="645"/>
    </w:pPr>
    <w:rPr>
      <w:rFonts w:ascii="仿宋_GB2312" w:eastAsia="仿宋_GB2312"/>
      <w:sz w:val="84"/>
      <w:szCs w:val="32"/>
    </w:rPr>
  </w:style>
  <w:style w:type="paragraph" w:customStyle="1" w:styleId="22">
    <w:name w:val="样式1"/>
    <w:basedOn w:val="21"/>
    <w:qFormat/>
    <w:uiPriority w:val="0"/>
  </w:style>
  <w:style w:type="paragraph" w:customStyle="1" w:styleId="23">
    <w:name w:val="批注11111"/>
    <w:basedOn w:val="3"/>
    <w:qFormat/>
    <w:uiPriority w:val="0"/>
    <w:rPr>
      <w:rFonts w:ascii="仿宋_GB2312" w:eastAsia="仿宋_GB2312"/>
      <w:w w:val="120"/>
      <w:sz w:val="84"/>
    </w:rPr>
  </w:style>
  <w:style w:type="paragraph" w:customStyle="1" w:styleId="24">
    <w:name w:val="样式2"/>
    <w:basedOn w:val="23"/>
    <w:qFormat/>
    <w:uiPriority w:val="0"/>
  </w:style>
  <w:style w:type="paragraph" w:customStyle="1" w:styleId="25">
    <w:name w:val="批注22222"/>
    <w:basedOn w:val="23"/>
    <w:qFormat/>
    <w:uiPriority w:val="0"/>
    <w:rPr>
      <w:rFonts w:eastAsiaTheme="majorEastAsia"/>
    </w:rPr>
  </w:style>
  <w:style w:type="paragraph" w:customStyle="1" w:styleId="26">
    <w:name w:val="样式3"/>
    <w:basedOn w:val="23"/>
    <w:qFormat/>
    <w:uiPriority w:val="0"/>
    <w:rPr>
      <w:rFonts w:eastAsiaTheme="majorEastAsia"/>
    </w:rPr>
  </w:style>
  <w:style w:type="paragraph" w:customStyle="1" w:styleId="27">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17</Pages>
  <Words>1274</Words>
  <Characters>7264</Characters>
  <Lines>60</Lines>
  <Paragraphs>17</Paragraphs>
  <TotalTime>640</TotalTime>
  <ScaleCrop>false</ScaleCrop>
  <LinksUpToDate>false</LinksUpToDate>
  <CharactersWithSpaces>8521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2023-04-07T17:35:00Z</dcterms:created>
  <dc:creator>薛捷</dc:creator>
  <cp:lastModifiedBy>WPS_1007411942</cp:lastModifiedBy>
  <cp:lastPrinted>2023-11-04T03:13:00Z</cp:lastPrinted>
  <dcterms:modified xsi:type="dcterms:W3CDTF">2023-12-04T09:09:29Z</dcterms:modified>
  <dc:title>附件1</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490B2A2B959E43C1AA9B9BE1F90E59D2_12</vt:lpwstr>
  </property>
</Properties>
</file>