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CEB9">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附件2</w:t>
      </w:r>
    </w:p>
    <w:p w14:paraId="3F6A7B44">
      <w:pPr>
        <w:keepNext w:val="0"/>
        <w:keepLines w:val="0"/>
        <w:widowControl/>
        <w:suppressLineNumbers w:val="0"/>
        <w:jc w:val="center"/>
        <w:rPr>
          <w:rStyle w:val="5"/>
          <w:rFonts w:ascii="宋体" w:hAnsi="宋体" w:eastAsia="宋体" w:cs="宋体"/>
          <w:spacing w:val="6"/>
          <w:kern w:val="0"/>
          <w:sz w:val="28"/>
          <w:szCs w:val="28"/>
          <w:lang w:val="en-US" w:eastAsia="zh-CN" w:bidi="ar"/>
        </w:rPr>
      </w:pPr>
      <w:bookmarkStart w:id="0" w:name="_GoBack"/>
      <w:r>
        <w:rPr>
          <w:rStyle w:val="5"/>
          <w:rFonts w:ascii="宋体" w:hAnsi="宋体" w:eastAsia="宋体" w:cs="宋体"/>
          <w:spacing w:val="6"/>
          <w:kern w:val="0"/>
          <w:sz w:val="28"/>
          <w:szCs w:val="28"/>
          <w:lang w:val="en-US" w:eastAsia="zh-CN" w:bidi="ar"/>
        </w:rPr>
        <w:t>第十三届中国创新创业大赛颠覆性技术创新大赛</w:t>
      </w:r>
    </w:p>
    <w:p w14:paraId="0AC2AEF0">
      <w:pPr>
        <w:keepNext w:val="0"/>
        <w:keepLines w:val="0"/>
        <w:widowControl/>
        <w:suppressLineNumbers w:val="0"/>
        <w:jc w:val="center"/>
        <w:rPr>
          <w:sz w:val="28"/>
          <w:szCs w:val="28"/>
        </w:rPr>
      </w:pPr>
      <w:r>
        <w:rPr>
          <w:rStyle w:val="5"/>
          <w:rFonts w:ascii="宋体" w:hAnsi="宋体" w:eastAsia="宋体" w:cs="宋体"/>
          <w:spacing w:val="6"/>
          <w:kern w:val="0"/>
          <w:sz w:val="28"/>
          <w:szCs w:val="28"/>
          <w:lang w:val="en-US" w:eastAsia="zh-CN" w:bidi="ar"/>
        </w:rPr>
        <w:t>（未来信息领域赛）组织方案</w:t>
      </w:r>
      <w:bookmarkEnd w:id="0"/>
    </w:p>
    <w:p w14:paraId="11D99946">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根据工业和信息化部火炬中心《关于举办第十三届中国创新创业大赛的通知》（火炬〔2024〕8号）要求，制定第十三届中国创新创业大赛颠覆性技术创新大赛（未来信息领域赛）方案。</w:t>
      </w:r>
    </w:p>
    <w:p w14:paraId="0348F9F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一</w:t>
      </w:r>
      <w:r>
        <w:rPr>
          <w:rStyle w:val="5"/>
          <w:rFonts w:hint="eastAsia" w:ascii="宋体" w:hAnsi="宋体" w:eastAsia="宋体" w:cs="宋体"/>
          <w:spacing w:val="6"/>
          <w:kern w:val="0"/>
          <w:sz w:val="24"/>
          <w:szCs w:val="24"/>
          <w:u w:val="none"/>
          <w:lang w:val="en-US" w:eastAsia="zh-CN" w:bidi="ar"/>
        </w:rPr>
        <w:t>、指导思想</w:t>
      </w:r>
      <w:r>
        <w:rPr>
          <w:rStyle w:val="5"/>
          <w:rFonts w:hint="eastAsia" w:ascii="宋体" w:hAnsi="宋体" w:eastAsia="宋体" w:cs="宋体"/>
          <w:spacing w:val="7"/>
          <w:kern w:val="0"/>
          <w:sz w:val="24"/>
          <w:szCs w:val="24"/>
          <w:u w:val="none"/>
          <w:lang w:val="en-US" w:eastAsia="zh-CN" w:bidi="ar"/>
        </w:rPr>
        <w:t>         </w:t>
      </w:r>
    </w:p>
    <w:p w14:paraId="0240E7F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6FD8795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二</w:t>
      </w:r>
      <w:r>
        <w:rPr>
          <w:rStyle w:val="5"/>
          <w:rFonts w:hint="eastAsia" w:ascii="宋体" w:hAnsi="宋体" w:eastAsia="宋体" w:cs="宋体"/>
          <w:spacing w:val="6"/>
          <w:kern w:val="0"/>
          <w:sz w:val="24"/>
          <w:szCs w:val="24"/>
          <w:u w:val="none"/>
          <w:lang w:val="en-US" w:eastAsia="zh-CN" w:bidi="ar"/>
        </w:rPr>
        <w:t>、赛事安排</w:t>
      </w:r>
      <w:r>
        <w:rPr>
          <w:rStyle w:val="5"/>
          <w:rFonts w:hint="eastAsia" w:ascii="宋体" w:hAnsi="宋体" w:eastAsia="宋体" w:cs="宋体"/>
          <w:spacing w:val="7"/>
          <w:kern w:val="0"/>
          <w:sz w:val="24"/>
          <w:szCs w:val="24"/>
          <w:u w:val="none"/>
          <w:lang w:val="en-US" w:eastAsia="zh-CN" w:bidi="ar"/>
        </w:rPr>
        <w:t>         </w:t>
      </w:r>
    </w:p>
    <w:p w14:paraId="23679B8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未来信息领域赛采用“公开海选”方式，面向社会公开征集具有颠覆性技术苗头的项目参赛，通过层层筛选和项目比拼，优胜项目择优进入决赛。符合参赛条件的单位统一登录中国创新创业大赛网站（http://www.cxcyds.com）—专业赛事—颠覆性技术创新大赛入口报名参赛。同一参赛单位（大专院校除外）仅可报名1个项目参赛；大专院校报名项目总数量不超过3个。比赛不向参赛单位收取任何费用。</w:t>
      </w:r>
    </w:p>
    <w:p w14:paraId="69C34C7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三</w:t>
      </w:r>
      <w:r>
        <w:rPr>
          <w:rStyle w:val="5"/>
          <w:rFonts w:hint="eastAsia" w:ascii="宋体" w:hAnsi="宋体" w:eastAsia="宋体" w:cs="宋体"/>
          <w:spacing w:val="6"/>
          <w:kern w:val="0"/>
          <w:sz w:val="24"/>
          <w:szCs w:val="24"/>
          <w:u w:val="none"/>
          <w:lang w:val="en-US" w:eastAsia="zh-CN" w:bidi="ar"/>
        </w:rPr>
        <w:t>、组织机构</w:t>
      </w:r>
      <w:r>
        <w:rPr>
          <w:rStyle w:val="5"/>
          <w:rFonts w:hint="eastAsia" w:ascii="宋体" w:hAnsi="宋体" w:eastAsia="宋体" w:cs="宋体"/>
          <w:spacing w:val="7"/>
          <w:kern w:val="0"/>
          <w:sz w:val="24"/>
          <w:szCs w:val="24"/>
          <w:u w:val="none"/>
          <w:lang w:val="en-US" w:eastAsia="zh-CN" w:bidi="ar"/>
        </w:rPr>
        <w:t>         </w:t>
      </w:r>
    </w:p>
    <w:p w14:paraId="01577EA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主办单位：</w:t>
      </w:r>
    </w:p>
    <w:p w14:paraId="7C5E06C6">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工业和信息化部火炬高技术产业开发中心</w:t>
      </w:r>
    </w:p>
    <w:p w14:paraId="00BE73D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承办单位：</w:t>
      </w:r>
    </w:p>
    <w:p w14:paraId="6B979B1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成都高新技术产业开发区管理委员会</w:t>
      </w:r>
    </w:p>
    <w:p w14:paraId="544099B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支持单位：</w:t>
      </w:r>
    </w:p>
    <w:p w14:paraId="276F76C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招商银行科技创新公益基金</w:t>
      </w:r>
    </w:p>
    <w:p w14:paraId="1A14888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新华社中国经济信息社</w:t>
      </w:r>
    </w:p>
    <w:p w14:paraId="6715DFD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国家国防科技工业局经济技术发展中心</w:t>
      </w:r>
    </w:p>
    <w:p w14:paraId="667E389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中国科学院科技战略咨询研究院</w:t>
      </w:r>
    </w:p>
    <w:p w14:paraId="525BBE1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京津冀国家技术创新中心</w:t>
      </w:r>
    </w:p>
    <w:p w14:paraId="3D5A3CE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先进技术成果长三角转化中心</w:t>
      </w:r>
    </w:p>
    <w:p w14:paraId="4726C6B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The Innovation期刊</w:t>
      </w:r>
    </w:p>
    <w:p w14:paraId="3362262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四</w:t>
      </w:r>
      <w:r>
        <w:rPr>
          <w:rStyle w:val="5"/>
          <w:rFonts w:hint="eastAsia" w:ascii="宋体" w:hAnsi="宋体" w:eastAsia="宋体" w:cs="宋体"/>
          <w:spacing w:val="6"/>
          <w:kern w:val="0"/>
          <w:sz w:val="24"/>
          <w:szCs w:val="24"/>
          <w:u w:val="none"/>
          <w:lang w:val="en-US" w:eastAsia="zh-CN" w:bidi="ar"/>
        </w:rPr>
        <w:t>、参赛要求</w:t>
      </w:r>
      <w:r>
        <w:rPr>
          <w:rStyle w:val="5"/>
          <w:rFonts w:hint="eastAsia" w:ascii="宋体" w:hAnsi="宋体" w:eastAsia="宋体" w:cs="宋体"/>
          <w:spacing w:val="7"/>
          <w:kern w:val="0"/>
          <w:sz w:val="24"/>
          <w:szCs w:val="24"/>
          <w:u w:val="none"/>
          <w:lang w:val="en-US" w:eastAsia="zh-CN" w:bidi="ar"/>
        </w:rPr>
        <w:t>         </w:t>
      </w:r>
    </w:p>
    <w:p w14:paraId="6535CDA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（一）参赛单位要求</w:t>
      </w:r>
    </w:p>
    <w:p w14:paraId="38A2A8E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参赛单位应是具有独立法人资格的企事业单位等，经营规范、社会信誉良好、无知识产权纠纷，且具有较强的创新能力和一定的项目实施条件。</w:t>
      </w:r>
    </w:p>
    <w:p w14:paraId="7B83EE1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（二）参赛项目要求</w:t>
      </w:r>
    </w:p>
    <w:p w14:paraId="03B10F2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196A5D2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五</w:t>
      </w:r>
      <w:r>
        <w:rPr>
          <w:rStyle w:val="5"/>
          <w:rFonts w:hint="eastAsia" w:ascii="宋体" w:hAnsi="宋体" w:eastAsia="宋体" w:cs="宋体"/>
          <w:spacing w:val="6"/>
          <w:kern w:val="0"/>
          <w:sz w:val="24"/>
          <w:szCs w:val="24"/>
          <w:u w:val="none"/>
          <w:lang w:val="en-US" w:eastAsia="zh-CN" w:bidi="ar"/>
        </w:rPr>
        <w:t>、技术方向</w:t>
      </w:r>
      <w:r>
        <w:rPr>
          <w:rStyle w:val="5"/>
          <w:rFonts w:hint="eastAsia" w:ascii="宋体" w:hAnsi="宋体" w:eastAsia="宋体" w:cs="宋体"/>
          <w:spacing w:val="7"/>
          <w:kern w:val="0"/>
          <w:sz w:val="24"/>
          <w:szCs w:val="24"/>
          <w:u w:val="none"/>
          <w:lang w:val="en-US" w:eastAsia="zh-CN" w:bidi="ar"/>
        </w:rPr>
        <w:t>         </w:t>
      </w:r>
    </w:p>
    <w:p w14:paraId="69F1F8C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重点聚焦未来信息领域，包括下一代移动通信，卫星互联网，量子信息，量子、光子等计算技术，类脑智能，群体智能，大模型等方向。</w:t>
      </w:r>
    </w:p>
    <w:p w14:paraId="2C68542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六</w:t>
      </w:r>
      <w:r>
        <w:rPr>
          <w:rStyle w:val="5"/>
          <w:rFonts w:hint="eastAsia" w:ascii="宋体" w:hAnsi="宋体" w:eastAsia="宋体" w:cs="宋体"/>
          <w:spacing w:val="6"/>
          <w:kern w:val="0"/>
          <w:sz w:val="24"/>
          <w:szCs w:val="24"/>
          <w:u w:val="none"/>
          <w:lang w:val="en-US" w:eastAsia="zh-CN" w:bidi="ar"/>
        </w:rPr>
        <w:t>、赛程安排</w:t>
      </w:r>
      <w:r>
        <w:rPr>
          <w:rStyle w:val="5"/>
          <w:rFonts w:hint="eastAsia" w:ascii="宋体" w:hAnsi="宋体" w:eastAsia="宋体" w:cs="宋体"/>
          <w:spacing w:val="7"/>
          <w:kern w:val="0"/>
          <w:sz w:val="24"/>
          <w:szCs w:val="24"/>
          <w:u w:val="none"/>
          <w:lang w:val="en-US" w:eastAsia="zh-CN" w:bidi="ar"/>
        </w:rPr>
        <w:t>         </w:t>
      </w:r>
    </w:p>
    <w:p w14:paraId="16D018B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（一）自主报名。各参赛单位通过大赛官方网站进行统一注册报名，同时承诺对填报信息的准确、真实、合法、有效性负责。</w:t>
      </w:r>
    </w:p>
    <w:p w14:paraId="7FD5EBC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报名截止时间为2024年10月12日。</w:t>
      </w:r>
    </w:p>
    <w:p w14:paraId="2AFBAF3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（二）项目审查和初筛。对报名参赛项目，按照项目合规性审查标准进行审查，再根据颠覆性技术评议标准进行初步筛选，确定进入领域赛项目名单。</w:t>
      </w:r>
    </w:p>
    <w:p w14:paraId="176147F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项目初筛时间为2024年10月中旬。</w:t>
      </w:r>
    </w:p>
    <w:p w14:paraId="361E276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（三）比赛说明。</w:t>
      </w:r>
    </w:p>
    <w:p w14:paraId="2148232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1.比赛分组。未来信息领域赛将参赛单位分组并排序，参加评议的评委随机分组组成评议组，项目组与评议组随机匹配。</w:t>
      </w:r>
    </w:p>
    <w:p w14:paraId="6B63E19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2.比赛模式。未来信息领域赛采用“12+8”模式封闭式陈述和答辩，参赛选手陈述时间12分钟，评议组问答时间8分钟。</w:t>
      </w:r>
    </w:p>
    <w:p w14:paraId="437C363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0E3C7AC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4.组织方案。</w:t>
      </w:r>
    </w:p>
    <w:p w14:paraId="5A87B00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（1）比赛时间：2024年10月31日—11月2日</w:t>
      </w:r>
    </w:p>
    <w:p w14:paraId="6A62F85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（2）参赛人员。每个参赛项目单位选派1—2名代表作为选手参加比赛。其中1名为参赛项目的负责人或研发团队主要人员作为陈述和答辩人，另可选派1名助手。</w:t>
      </w:r>
    </w:p>
    <w:p w14:paraId="4A9B632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（3）比赛展示。参赛选手须提供比赛使用的PPT电子版。参赛选手可在比赛中展示产品、样品等相关实物模型。</w:t>
      </w:r>
    </w:p>
    <w:p w14:paraId="0FAB4F4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（4）参赛费用。未来信息领域赛不向参赛单位收取任何费用，不统一安排食宿，差旅费、食宿费自理。</w:t>
      </w:r>
    </w:p>
    <w:p w14:paraId="0DE59BD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七</w:t>
      </w:r>
      <w:r>
        <w:rPr>
          <w:rStyle w:val="5"/>
          <w:rFonts w:hint="eastAsia" w:ascii="宋体" w:hAnsi="宋体" w:eastAsia="宋体" w:cs="宋体"/>
          <w:spacing w:val="6"/>
          <w:kern w:val="0"/>
          <w:sz w:val="24"/>
          <w:szCs w:val="24"/>
          <w:u w:val="none"/>
          <w:lang w:val="en-US" w:eastAsia="zh-CN" w:bidi="ar"/>
        </w:rPr>
        <w:t>、服务政策</w:t>
      </w:r>
      <w:r>
        <w:rPr>
          <w:rStyle w:val="5"/>
          <w:rFonts w:hint="eastAsia" w:ascii="宋体" w:hAnsi="宋体" w:eastAsia="宋体" w:cs="宋体"/>
          <w:spacing w:val="7"/>
          <w:kern w:val="0"/>
          <w:sz w:val="24"/>
          <w:szCs w:val="24"/>
          <w:u w:val="none"/>
          <w:lang w:val="en-US" w:eastAsia="zh-CN" w:bidi="ar"/>
        </w:rPr>
        <w:t>         </w:t>
      </w:r>
    </w:p>
    <w:p w14:paraId="74B0200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政策支持。按照《成都高新技术产业开发区关于加快创建世界领先科技园区的若干政策》，对决赛获得一、二、三等奖及优秀奖的项目，一年内落地成都高新区的，经认定，给予该项目最高100万元政策奖励；同时符合条件可申报认定为高层次人才企业，给予最高500平方米的创业空间支持，最高500万元融资补贴支持。</w:t>
      </w:r>
    </w:p>
    <w:p w14:paraId="373203B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（二）领军企业赋能。</w:t>
      </w:r>
    </w:p>
    <w:p w14:paraId="1D80711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1.产业对接：大赛获奖项目将在组委会协助下与成都高新区领军企业进行产业合作对接；</w:t>
      </w:r>
    </w:p>
    <w:p w14:paraId="41132D4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2.平台对接：大赛获奖项目将有机会参与成都高新区领军企业高层座谈，促进项目与领军企业建立合作；</w:t>
      </w:r>
    </w:p>
    <w:p w14:paraId="4F68E15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3.技术服务（培训）：大赛参赛项目将获得组委会组织的领军企业行业技术及专业服务内容的专项培训机会。</w:t>
      </w:r>
    </w:p>
    <w:p w14:paraId="68BEE77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三）金融服务。向国家中小企业发展基金、国家制造业转型升级基金、国家集成电路产业投资基金等国家级基金及其他市场化创业投资基金推荐大赛。促进国家产融合作平台为参赛企业在优惠信贷、发行债券、上市融资等方面创造便利条件，大赛合作银行择优给予参赛企业贷款授信支持。</w:t>
      </w:r>
    </w:p>
    <w:p w14:paraId="3408F066">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（四）人才服务。联合相关高校为参赛企业举办创新创业优秀人才招聘，推荐参赛企业参加国家高新区科研助理岗招聘活动。依托“百园百校万企”合作行动，为高新区、企业提供人才服务。</w:t>
      </w:r>
    </w:p>
    <w:p w14:paraId="692D427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五）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4856DB5C">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六）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70D6CD2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（七）专项支持。支持符合条件的参赛企业纳入工业和信息化部优质企业梯度培育体系，争取国家颠覆性技术创新重点专项支持。</w:t>
      </w:r>
    </w:p>
    <w:p w14:paraId="5DD4438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（八）宣传展示。通过中国创新创业大赛官网、合作媒体渠道、大赛附属论坛、展览、培训等活动，对赛事进行宣传展示。</w:t>
      </w:r>
    </w:p>
    <w:p w14:paraId="3D66CB10">
      <w:pPr>
        <w:keepNext w:val="0"/>
        <w:keepLines w:val="0"/>
        <w:widowControl/>
        <w:suppressLineNumbers w:val="0"/>
        <w:jc w:val="left"/>
        <w:rPr>
          <w:rFonts w:hint="eastAsia" w:ascii="宋体" w:hAnsi="宋体" w:eastAsia="宋体" w:cs="宋体"/>
          <w:sz w:val="24"/>
          <w:szCs w:val="24"/>
          <w:u w:val="none"/>
        </w:rPr>
      </w:pPr>
      <w:r>
        <w:rPr>
          <w:rStyle w:val="5"/>
          <w:rFonts w:hint="eastAsia" w:ascii="宋体" w:hAnsi="宋体" w:eastAsia="宋体" w:cs="宋体"/>
          <w:spacing w:val="7"/>
          <w:kern w:val="0"/>
          <w:sz w:val="24"/>
          <w:szCs w:val="24"/>
          <w:u w:val="none"/>
          <w:lang w:val="en-US" w:eastAsia="zh-CN" w:bidi="ar"/>
        </w:rPr>
        <w:t> </w:t>
      </w:r>
      <w:r>
        <w:rPr>
          <w:rStyle w:val="5"/>
          <w:rFonts w:hint="eastAsia" w:ascii="宋体" w:hAnsi="宋体" w:eastAsia="宋体" w:cs="宋体"/>
          <w:spacing w:val="6"/>
          <w:kern w:val="0"/>
          <w:sz w:val="24"/>
          <w:szCs w:val="24"/>
          <w:u w:val="none"/>
          <w:lang w:val="en-US" w:eastAsia="zh-CN" w:bidi="ar"/>
        </w:rPr>
        <w:t>联系人：</w:t>
      </w:r>
    </w:p>
    <w:p w14:paraId="642EFFE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易娟 028-61397021</w:t>
      </w:r>
    </w:p>
    <w:p w14:paraId="6F23545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78875AF2"/>
    <w:rsid w:val="7887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2024-09-18T01:40:00Z</dcterms:created>
  <dc:creator>Bowen</dc:creator>
  <cp:lastModifiedBy>Bowen</cp:lastModifiedBy>
  <dcterms:modified xsi:type="dcterms:W3CDTF">2024-09-18T01:46:52Z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F883625917BE4964B4ADE122A8DBD00A_11</vt:lpwstr>
  </property>
</Properties>
</file>