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738F6">
      <w:pPr>
        <w:keepNext w:val="0"/>
        <w:keepLines w:val="0"/>
        <w:widowControl/>
        <w:suppressLineNumbers w:val="0"/>
        <w:jc w:val="left"/>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附件6</w:t>
      </w:r>
    </w:p>
    <w:p w14:paraId="17F33BF5">
      <w:pPr>
        <w:keepNext w:val="0"/>
        <w:keepLines w:val="0"/>
        <w:widowControl/>
        <w:suppressLineNumbers w:val="0"/>
        <w:jc w:val="center"/>
        <w:rPr>
          <w:rStyle w:val="5"/>
          <w:rFonts w:ascii="宋体" w:hAnsi="宋体" w:eastAsia="宋体" w:cs="宋体"/>
          <w:spacing w:val="6"/>
          <w:kern w:val="0"/>
          <w:sz w:val="28"/>
          <w:szCs w:val="28"/>
          <w:lang w:val="en-US" w:eastAsia="zh-CN" w:bidi="ar"/>
        </w:rPr>
      </w:pPr>
      <w:bookmarkStart w:id="0" w:name="_GoBack"/>
      <w:r>
        <w:rPr>
          <w:rStyle w:val="5"/>
          <w:rFonts w:ascii="宋体" w:hAnsi="宋体" w:eastAsia="宋体" w:cs="宋体"/>
          <w:spacing w:val="6"/>
          <w:kern w:val="0"/>
          <w:sz w:val="28"/>
          <w:szCs w:val="28"/>
          <w:lang w:val="en-US" w:eastAsia="zh-CN" w:bidi="ar"/>
        </w:rPr>
        <w:t>第十三届中国创新创业大赛颠覆性技术创新大赛</w:t>
      </w:r>
    </w:p>
    <w:p w14:paraId="062EBADF">
      <w:pPr>
        <w:keepNext w:val="0"/>
        <w:keepLines w:val="0"/>
        <w:widowControl/>
        <w:suppressLineNumbers w:val="0"/>
        <w:jc w:val="center"/>
        <w:rPr>
          <w:rStyle w:val="5"/>
          <w:rFonts w:ascii="宋体" w:hAnsi="宋体" w:eastAsia="宋体" w:cs="宋体"/>
          <w:spacing w:val="6"/>
          <w:kern w:val="0"/>
          <w:sz w:val="28"/>
          <w:szCs w:val="28"/>
          <w:lang w:val="en-US" w:eastAsia="zh-CN" w:bidi="ar"/>
        </w:rPr>
      </w:pPr>
      <w:r>
        <w:rPr>
          <w:rStyle w:val="5"/>
          <w:rFonts w:ascii="宋体" w:hAnsi="宋体" w:eastAsia="宋体" w:cs="宋体"/>
          <w:spacing w:val="6"/>
          <w:kern w:val="0"/>
          <w:sz w:val="28"/>
          <w:szCs w:val="28"/>
          <w:lang w:val="en-US" w:eastAsia="zh-CN" w:bidi="ar"/>
        </w:rPr>
        <w:t>（未来健康领域赛）组织方案</w:t>
      </w:r>
    </w:p>
    <w:bookmarkEnd w:id="0"/>
    <w:p w14:paraId="4D28CD93">
      <w:pPr>
        <w:keepNext w:val="0"/>
        <w:keepLines w:val="0"/>
        <w:widowControl/>
        <w:suppressLineNumbers w:val="0"/>
        <w:jc w:val="left"/>
        <w:rPr>
          <w:rStyle w:val="5"/>
          <w:rFonts w:ascii="宋体" w:hAnsi="宋体" w:eastAsia="宋体" w:cs="宋体"/>
          <w:spacing w:val="6"/>
          <w:kern w:val="0"/>
          <w:sz w:val="20"/>
          <w:szCs w:val="20"/>
          <w:lang w:val="en-US" w:eastAsia="zh-CN" w:bidi="ar"/>
        </w:rPr>
      </w:pPr>
    </w:p>
    <w:p w14:paraId="4B34AA7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根据工业和信息化部火炬中心《关于举办第十三届中国创新创业大赛的通知》（火炬〔2024〕8号）要求，制定第十三届中国创新创业大赛颠覆性技术创新大赛（未来健康领域赛）方案。</w:t>
      </w:r>
    </w:p>
    <w:p w14:paraId="18A97D9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13"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一</w:t>
      </w:r>
      <w:r>
        <w:rPr>
          <w:rStyle w:val="5"/>
          <w:rFonts w:hint="eastAsia" w:ascii="宋体" w:hAnsi="宋体" w:eastAsia="宋体" w:cs="宋体"/>
          <w:spacing w:val="6"/>
          <w:kern w:val="0"/>
          <w:sz w:val="24"/>
          <w:szCs w:val="24"/>
          <w:u w:val="none"/>
          <w:lang w:val="en-US" w:eastAsia="zh-CN" w:bidi="ar"/>
        </w:rPr>
        <w:t>、指导思想</w:t>
      </w:r>
      <w:r>
        <w:rPr>
          <w:rStyle w:val="5"/>
          <w:rFonts w:hint="eastAsia" w:ascii="宋体" w:hAnsi="宋体" w:eastAsia="宋体" w:cs="宋体"/>
          <w:spacing w:val="7"/>
          <w:kern w:val="0"/>
          <w:sz w:val="24"/>
          <w:szCs w:val="24"/>
          <w:u w:val="none"/>
          <w:lang w:val="en-US" w:eastAsia="zh-CN" w:bidi="ar"/>
        </w:rPr>
        <w:t>         </w:t>
      </w:r>
    </w:p>
    <w:p w14:paraId="747167A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02E1E26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二</w:t>
      </w:r>
      <w:r>
        <w:rPr>
          <w:rStyle w:val="5"/>
          <w:rFonts w:hint="eastAsia" w:ascii="宋体" w:hAnsi="宋体" w:eastAsia="宋体" w:cs="宋体"/>
          <w:spacing w:val="6"/>
          <w:kern w:val="0"/>
          <w:sz w:val="24"/>
          <w:szCs w:val="24"/>
          <w:u w:val="none"/>
          <w:lang w:val="en-US" w:eastAsia="zh-CN" w:bidi="ar"/>
        </w:rPr>
        <w:t>、赛事安排</w:t>
      </w:r>
      <w:r>
        <w:rPr>
          <w:rStyle w:val="5"/>
          <w:rFonts w:hint="eastAsia" w:ascii="宋体" w:hAnsi="宋体" w:eastAsia="宋体" w:cs="宋体"/>
          <w:spacing w:val="7"/>
          <w:kern w:val="0"/>
          <w:sz w:val="24"/>
          <w:szCs w:val="24"/>
          <w:u w:val="none"/>
          <w:lang w:val="en-US" w:eastAsia="zh-CN" w:bidi="ar"/>
        </w:rPr>
        <w:t>         </w:t>
      </w:r>
    </w:p>
    <w:p w14:paraId="5FBAC60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未来健康领域赛采用“公开海选”方式，面向社会公开征集具有颠覆性技术苗头的项目参赛，通过层层筛选和项目比拼，优胜项目择优进入决赛。符合参赛条件的单位统一登录中国创新创业大赛网站（http://www.cxcyds.com）—颠覆性技术创新大赛入口报名参赛。同一参赛单位（大专院校除外）仅可报名1个项目参赛；大专院校报名项目总数量不超过3个。比赛不向参赛单位收取任何费用。</w:t>
      </w:r>
    </w:p>
    <w:p w14:paraId="6E1BA1B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3"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三</w:t>
      </w:r>
      <w:r>
        <w:rPr>
          <w:rStyle w:val="5"/>
          <w:rFonts w:hint="eastAsia" w:ascii="宋体" w:hAnsi="宋体" w:eastAsia="宋体" w:cs="宋体"/>
          <w:spacing w:val="6"/>
          <w:kern w:val="0"/>
          <w:sz w:val="24"/>
          <w:szCs w:val="24"/>
          <w:u w:val="none"/>
          <w:lang w:val="en-US" w:eastAsia="zh-CN" w:bidi="ar"/>
        </w:rPr>
        <w:t>、组织机构</w:t>
      </w:r>
      <w:r>
        <w:rPr>
          <w:rStyle w:val="5"/>
          <w:rFonts w:hint="eastAsia" w:ascii="宋体" w:hAnsi="宋体" w:eastAsia="宋体" w:cs="宋体"/>
          <w:spacing w:val="7"/>
          <w:kern w:val="0"/>
          <w:sz w:val="24"/>
          <w:szCs w:val="24"/>
          <w:u w:val="none"/>
          <w:lang w:val="en-US" w:eastAsia="zh-CN" w:bidi="ar"/>
        </w:rPr>
        <w:t>         </w:t>
      </w:r>
    </w:p>
    <w:p w14:paraId="3EE0A11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主办单位：</w:t>
      </w:r>
    </w:p>
    <w:p w14:paraId="6E835C7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工业和信息化部火炬高技术产业开发中心</w:t>
      </w:r>
    </w:p>
    <w:p w14:paraId="4319F60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上海市奉贤区人民政府</w:t>
      </w:r>
    </w:p>
    <w:p w14:paraId="5C294000">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承办单位：</w:t>
      </w:r>
    </w:p>
    <w:p w14:paraId="42F6CD2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上海市奉贤区科学技术委员会</w:t>
      </w:r>
    </w:p>
    <w:p w14:paraId="0F6ABDB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华东理工大学生物反应器工程国家重点实验室</w:t>
      </w:r>
    </w:p>
    <w:p w14:paraId="01E4D05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上海沪江产业技术研究院</w:t>
      </w:r>
    </w:p>
    <w:p w14:paraId="58BE312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中国技术创业协会</w:t>
      </w:r>
    </w:p>
    <w:p w14:paraId="49E0C1C7">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Style w:val="5"/>
          <w:rFonts w:hint="eastAsia" w:ascii="宋体" w:hAnsi="宋体" w:eastAsia="宋体" w:cs="宋体"/>
          <w:spacing w:val="6"/>
          <w:sz w:val="24"/>
          <w:szCs w:val="24"/>
        </w:rPr>
        <w:t>支持单位：</w:t>
      </w:r>
    </w:p>
    <w:p w14:paraId="3272A2D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招商银行科技创新公益基金</w:t>
      </w:r>
    </w:p>
    <w:p w14:paraId="1B9A71F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新华社中国经济信息社</w:t>
      </w:r>
    </w:p>
    <w:p w14:paraId="6968C08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国家国防科技工业局经济技术发展中心</w:t>
      </w:r>
    </w:p>
    <w:p w14:paraId="274D314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中国科学院科技战略咨询研究院</w:t>
      </w:r>
    </w:p>
    <w:p w14:paraId="041A8FF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京津冀国家技术创新中心</w:t>
      </w:r>
    </w:p>
    <w:p w14:paraId="023FC459">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先进技术成果长三角转化中心</w:t>
      </w:r>
    </w:p>
    <w:p w14:paraId="3E21B48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The Innovation期刊</w:t>
      </w:r>
    </w:p>
    <w:p w14:paraId="1E584BB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中国邮政储蓄银行股份有限公司上海分行</w:t>
      </w:r>
    </w:p>
    <w:p w14:paraId="4605A7A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4"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四</w:t>
      </w:r>
      <w:r>
        <w:rPr>
          <w:rStyle w:val="5"/>
          <w:rFonts w:hint="eastAsia" w:ascii="宋体" w:hAnsi="宋体" w:eastAsia="宋体" w:cs="宋体"/>
          <w:spacing w:val="6"/>
          <w:kern w:val="0"/>
          <w:sz w:val="24"/>
          <w:szCs w:val="24"/>
          <w:u w:val="none"/>
          <w:lang w:val="en-US" w:eastAsia="zh-CN" w:bidi="ar"/>
        </w:rPr>
        <w:t>、参赛要求</w:t>
      </w:r>
      <w:r>
        <w:rPr>
          <w:rStyle w:val="5"/>
          <w:rFonts w:hint="eastAsia" w:ascii="宋体" w:hAnsi="宋体" w:eastAsia="宋体" w:cs="宋体"/>
          <w:spacing w:val="7"/>
          <w:kern w:val="0"/>
          <w:sz w:val="24"/>
          <w:szCs w:val="24"/>
          <w:u w:val="none"/>
          <w:lang w:val="en-US" w:eastAsia="zh-CN" w:bidi="ar"/>
        </w:rPr>
        <w:t>         </w:t>
      </w:r>
    </w:p>
    <w:p w14:paraId="3807082E">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（一）参赛单位要求</w:t>
      </w:r>
    </w:p>
    <w:p w14:paraId="3406B5C5">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参赛单位应是具有独立法人资格的企事业单位等，经营规范、社会信誉良好、无知识产权纠纷，且具有较强的创新能力和一定的项目实施条件。</w:t>
      </w:r>
    </w:p>
    <w:p w14:paraId="75ACE16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（二）参赛项目要求</w:t>
      </w:r>
    </w:p>
    <w:p w14:paraId="463FF65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1408F66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5"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五</w:t>
      </w:r>
      <w:r>
        <w:rPr>
          <w:rStyle w:val="5"/>
          <w:rFonts w:hint="eastAsia" w:ascii="宋体" w:hAnsi="宋体" w:eastAsia="宋体" w:cs="宋体"/>
          <w:spacing w:val="6"/>
          <w:kern w:val="0"/>
          <w:sz w:val="24"/>
          <w:szCs w:val="24"/>
          <w:u w:val="none"/>
          <w:lang w:val="en-US" w:eastAsia="zh-CN" w:bidi="ar"/>
        </w:rPr>
        <w:t>、技术方向</w:t>
      </w:r>
      <w:r>
        <w:rPr>
          <w:rStyle w:val="5"/>
          <w:rFonts w:hint="eastAsia" w:ascii="宋体" w:hAnsi="宋体" w:eastAsia="宋体" w:cs="宋体"/>
          <w:spacing w:val="7"/>
          <w:kern w:val="0"/>
          <w:sz w:val="24"/>
          <w:szCs w:val="24"/>
          <w:u w:val="none"/>
          <w:lang w:val="en-US" w:eastAsia="zh-CN" w:bidi="ar"/>
        </w:rPr>
        <w:t>         </w:t>
      </w:r>
    </w:p>
    <w:p w14:paraId="7F1D3762">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重点聚焦未来健康领域，包括细胞和基因技术、合成生物、生物育种等前沿技术，5G/6G、元宇宙、人工智能等技术赋能的新型医疗服务，融合数字孪生、脑机交互等先进技术的高端医疗装备和健康用品等方向。</w:t>
      </w:r>
    </w:p>
    <w:p w14:paraId="15E98B8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六</w:t>
      </w:r>
      <w:r>
        <w:rPr>
          <w:rStyle w:val="5"/>
          <w:rFonts w:hint="eastAsia" w:ascii="宋体" w:hAnsi="宋体" w:eastAsia="宋体" w:cs="宋体"/>
          <w:spacing w:val="6"/>
          <w:kern w:val="0"/>
          <w:sz w:val="24"/>
          <w:szCs w:val="24"/>
          <w:u w:val="none"/>
          <w:lang w:val="en-US" w:eastAsia="zh-CN" w:bidi="ar"/>
        </w:rPr>
        <w:t>、赛程安排</w:t>
      </w:r>
      <w:r>
        <w:rPr>
          <w:rStyle w:val="5"/>
          <w:rFonts w:hint="eastAsia" w:ascii="宋体" w:hAnsi="宋体" w:eastAsia="宋体" w:cs="宋体"/>
          <w:spacing w:val="7"/>
          <w:kern w:val="0"/>
          <w:sz w:val="24"/>
          <w:szCs w:val="24"/>
          <w:u w:val="none"/>
          <w:lang w:val="en-US" w:eastAsia="zh-CN" w:bidi="ar"/>
        </w:rPr>
        <w:t>         </w:t>
      </w:r>
    </w:p>
    <w:p w14:paraId="7574D63A">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（一）自主报名。各参赛单位通过大赛官方网站进行统一注册报名，同时承诺对填报信息的准确、真实、合法、有效性负责。</w:t>
      </w:r>
    </w:p>
    <w:p w14:paraId="6D79E420">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报名截止时间为2024年10月12日。</w:t>
      </w:r>
    </w:p>
    <w:p w14:paraId="706D226D">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（二）项目审查和初筛。由承办单位按照项目合规性审查标准，对报名参赛项目进行审查，再组织相关专家，采用全方位评议模式，根据颠覆性技术评议标准进行初步筛选，确定进入领域赛项目名单。</w:t>
      </w:r>
    </w:p>
    <w:p w14:paraId="016397D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项目初筛时间为2024年10月中旬。</w:t>
      </w:r>
    </w:p>
    <w:p w14:paraId="2977E121">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（三）比赛说明。</w:t>
      </w:r>
    </w:p>
    <w:p w14:paraId="76BD497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1.比赛分组。未来健康领域赛将参赛单位分组并排序，参加评议的评委随机分组组成评议组，项目组与评议组随机匹配。</w:t>
      </w:r>
    </w:p>
    <w:p w14:paraId="43DAA0A8">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2.比赛模式。未来健康领域赛采用“12+8”模式封闭式陈述和答辩，参赛选手陈述时间12分钟，评议组问答时间8分钟。</w:t>
      </w:r>
    </w:p>
    <w:p w14:paraId="4D5C79A4">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评议流程。评议流程按初次评议和交叉评议两个环节依次进行。初次评议既对项目技术情况作出颠覆性可能评价，也进行评级；交叉评议对项目技术情况的颠覆性可能作进一步识别。评议结果分为优秀项目和优胜项目，优胜项目择优进入决赛。</w:t>
      </w:r>
    </w:p>
    <w:p w14:paraId="510E050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4.组织方案。</w:t>
      </w:r>
    </w:p>
    <w:p w14:paraId="03888B8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（1）比赛时间：2024年10月24日—10月26日。</w:t>
      </w:r>
    </w:p>
    <w:p w14:paraId="68A9E37F">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（2）参赛人员。每个参赛项目单位选派1—2名代表作为选手参加比赛。其中1名为参赛项目的负责人或研发团队主要人员作为陈述和答辩人，另可选派1名助手。</w:t>
      </w:r>
    </w:p>
    <w:p w14:paraId="49498233">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（3）比赛展示。参赛选手须提供比赛使用的PPT电子版。参赛选手可在比赛中展示产品、样品等相关实物模型。</w:t>
      </w:r>
    </w:p>
    <w:p w14:paraId="5312187B">
      <w:pPr>
        <w:pStyle w:val="2"/>
        <w:keepNext w:val="0"/>
        <w:keepLines w:val="0"/>
        <w:widowControl/>
        <w:suppressLineNumbers w:val="0"/>
        <w:spacing w:before="0" w:beforeAutospacing="0" w:after="240" w:afterAutospacing="0" w:line="336" w:lineRule="atLeast"/>
        <w:ind w:left="0" w:right="0" w:firstLine="420"/>
        <w:jc w:val="both"/>
        <w:rPr>
          <w:rFonts w:hint="eastAsia" w:ascii="宋体" w:hAnsi="宋体" w:eastAsia="宋体" w:cs="宋体"/>
          <w:sz w:val="24"/>
          <w:szCs w:val="24"/>
        </w:rPr>
      </w:pPr>
      <w:r>
        <w:rPr>
          <w:rFonts w:hint="eastAsia" w:ascii="宋体" w:hAnsi="宋体" w:eastAsia="宋体" w:cs="宋体"/>
          <w:spacing w:val="6"/>
          <w:sz w:val="24"/>
          <w:szCs w:val="24"/>
        </w:rPr>
        <w:t>（4）参赛费用。未来健康领域赛不向参赛单位收取任何费用，不统一安排食宿，差旅费、食宿费自理。</w:t>
      </w:r>
    </w:p>
    <w:p w14:paraId="6282940F">
      <w:pPr>
        <w:keepNext w:val="0"/>
        <w:keepLines w:val="0"/>
        <w:widowControl/>
        <w:suppressLineNumbers w:val="0"/>
        <w:jc w:val="left"/>
        <w:rPr>
          <w:rStyle w:val="5"/>
          <w:rFonts w:hint="eastAsia" w:ascii="宋体" w:hAnsi="宋体" w:eastAsia="宋体" w:cs="宋体"/>
          <w:spacing w:val="7"/>
          <w:kern w:val="0"/>
          <w:sz w:val="24"/>
          <w:szCs w:val="24"/>
          <w:u w:val="single"/>
          <w:lang w:val="en-US" w:eastAsia="zh-CN" w:bidi="ar"/>
        </w:rPr>
      </w:pPr>
      <w:r>
        <w:rPr>
          <w:rFonts w:hint="eastAsia" w:ascii="宋体" w:hAnsi="宋体" w:eastAsia="宋体" w:cs="宋体"/>
          <w:spacing w:val="6"/>
          <w:sz w:val="24"/>
          <w:szCs w:val="24"/>
          <w:shd w:val="clear" w:fill="0080FF"/>
        </w:rPr>
        <w:drawing>
          <wp:inline distT="0" distB="0" distL="114300" distR="114300">
            <wp:extent cx="476885" cy="449580"/>
            <wp:effectExtent l="0" t="0" r="0" b="7620"/>
            <wp:docPr id="27"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descr="IMG_256"/>
                    <pic:cNvPicPr>
                      <a:picLocks noChangeAspect="1"/>
                    </pic:cNvPicPr>
                  </pic:nvPicPr>
                  <pic:blipFill>
                    <a:blip r:embed="rId4"/>
                    <a:stretch>
                      <a:fillRect/>
                    </a:stretch>
                  </pic:blipFill>
                  <pic:spPr>
                    <a:xfrm>
                      <a:off x="0" y="0"/>
                      <a:ext cx="476885" cy="449580"/>
                    </a:xfrm>
                    <a:prstGeom prst="rect">
                      <a:avLst/>
                    </a:prstGeom>
                    <a:noFill/>
                    <a:ln w="9525">
                      <a:noFill/>
                    </a:ln>
                  </pic:spPr>
                </pic:pic>
              </a:graphicData>
            </a:graphic>
          </wp:inline>
        </w:drawing>
      </w:r>
      <w:r>
        <w:rPr>
          <w:rStyle w:val="5"/>
          <w:rFonts w:hint="eastAsia" w:ascii="宋体" w:hAnsi="宋体" w:eastAsia="宋体" w:cs="宋体"/>
          <w:spacing w:val="7"/>
          <w:kern w:val="0"/>
          <w:sz w:val="24"/>
          <w:szCs w:val="24"/>
          <w:u w:val="none"/>
          <w:lang w:val="en-US" w:eastAsia="zh-CN" w:bidi="ar"/>
        </w:rPr>
        <w:t>七</w:t>
      </w:r>
      <w:r>
        <w:rPr>
          <w:rStyle w:val="5"/>
          <w:rFonts w:hint="eastAsia" w:ascii="宋体" w:hAnsi="宋体" w:eastAsia="宋体" w:cs="宋体"/>
          <w:spacing w:val="6"/>
          <w:kern w:val="0"/>
          <w:sz w:val="24"/>
          <w:szCs w:val="24"/>
          <w:u w:val="none"/>
          <w:lang w:val="en-US" w:eastAsia="zh-CN" w:bidi="ar"/>
        </w:rPr>
        <w:t>、服务政策</w:t>
      </w:r>
      <w:r>
        <w:rPr>
          <w:rStyle w:val="5"/>
          <w:rFonts w:hint="eastAsia" w:ascii="宋体" w:hAnsi="宋体" w:eastAsia="宋体" w:cs="宋体"/>
          <w:spacing w:val="7"/>
          <w:kern w:val="0"/>
          <w:sz w:val="24"/>
          <w:szCs w:val="24"/>
          <w:u w:val="none"/>
          <w:lang w:val="en-US" w:eastAsia="zh-CN" w:bidi="ar"/>
        </w:rPr>
        <w:t>         </w:t>
      </w:r>
    </w:p>
    <w:p w14:paraId="5AE2B02D">
      <w:pPr>
        <w:keepNext w:val="0"/>
        <w:keepLines w:val="0"/>
        <w:widowControl/>
        <w:numPr>
          <w:ilvl w:val="0"/>
          <w:numId w:val="1"/>
        </w:numPr>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落地支持。采用专项政策、一事一议等方式给予组合支持。采取以赛代评、专项组织、部门会商等多种组织方式。资金支持方式可采取无偿资助（分期、里程碑等）、国有投资平台股权投资、贷款贴息等。最终获得总决赛优胜奖的项目给予200万资金支持，提供落地孵化、创业辅导、投融资对接等扶持措施，并将对落地项目开展持续跟踪支持。</w:t>
      </w:r>
    </w:p>
    <w:p w14:paraId="4FE6A02E">
      <w:pPr>
        <w:keepNext w:val="0"/>
        <w:keepLines w:val="0"/>
        <w:widowControl/>
        <w:numPr>
          <w:numId w:val="0"/>
        </w:numPr>
        <w:suppressLineNumbers w:val="0"/>
        <w:jc w:val="left"/>
        <w:rPr>
          <w:rFonts w:hint="eastAsia" w:ascii="宋体" w:hAnsi="宋体" w:eastAsia="宋体" w:cs="宋体"/>
          <w:kern w:val="0"/>
          <w:sz w:val="24"/>
          <w:szCs w:val="24"/>
          <w:lang w:val="en-US" w:eastAsia="zh-CN" w:bidi="ar"/>
        </w:rPr>
      </w:pPr>
    </w:p>
    <w:p w14:paraId="151CD55C">
      <w:pPr>
        <w:keepNext w:val="0"/>
        <w:keepLines w:val="0"/>
        <w:widowControl/>
        <w:numPr>
          <w:ilvl w:val="0"/>
          <w:numId w:val="1"/>
        </w:numPr>
        <w:suppressLineNumbers w:val="0"/>
        <w:ind w:left="0" w:lef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空间保障。对首创性、长周期的颠覆性技术项目，变“前置准入”为“后期评估”，提升非共识项目风险容忍度，与优质潜力企业共成长。奉贤区正大力发展未来健康产业，近年兴建众多生物医药、合成生物、医疗器械产业园与孵化器，通过颠覆性技术创新大赛窗口协助落户项目匹配产业化场地等资源，助力项目扩大应用场景并高效开展科技成果转移转化，推动形成颠覆性技术产业。</w:t>
      </w:r>
    </w:p>
    <w:p w14:paraId="481DA7E9">
      <w:pPr>
        <w:keepNext w:val="0"/>
        <w:keepLines w:val="0"/>
        <w:widowControl/>
        <w:numPr>
          <w:numId w:val="0"/>
        </w:numPr>
        <w:suppressLineNumbers w:val="0"/>
        <w:ind w:leftChars="0"/>
        <w:jc w:val="left"/>
        <w:rPr>
          <w:rFonts w:hint="eastAsia" w:ascii="宋体" w:hAnsi="宋体" w:eastAsia="宋体" w:cs="宋体"/>
          <w:kern w:val="0"/>
          <w:sz w:val="24"/>
          <w:szCs w:val="24"/>
          <w:lang w:val="en-US" w:eastAsia="zh-CN" w:bidi="ar"/>
        </w:rPr>
      </w:pPr>
    </w:p>
    <w:p w14:paraId="1EF82BE6">
      <w:pPr>
        <w:keepNext w:val="0"/>
        <w:keepLines w:val="0"/>
        <w:widowControl/>
        <w:numPr>
          <w:ilvl w:val="0"/>
          <w:numId w:val="1"/>
        </w:numPr>
        <w:suppressLineNumbers w:val="0"/>
        <w:ind w:left="0" w:lef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科技金融。奉贤区成立奉投基金，专注于区内创新项目的投融资，承办机构将协助对接产业高端战略机构、创业投资机构、商业银行等创新资源，建立全生命周期服务体系，推动开展系统的深度孵化服务。对落户项目给予科技金融贷款贴息支持、贴保支持、天使投资支持等补贴。促进国家产融合作平台为参赛企业在优惠信贷、发行债券、上市融资等方面创造便利条件，大赛合作银行择优给予参赛企业贷款授信支持。</w:t>
      </w:r>
    </w:p>
    <w:p w14:paraId="774DBCAB">
      <w:pPr>
        <w:keepNext w:val="0"/>
        <w:keepLines w:val="0"/>
        <w:widowControl/>
        <w:numPr>
          <w:numId w:val="0"/>
        </w:numPr>
        <w:suppressLineNumbers w:val="0"/>
        <w:ind w:leftChars="0"/>
        <w:jc w:val="left"/>
        <w:rPr>
          <w:rFonts w:hint="eastAsia" w:ascii="宋体" w:hAnsi="宋体" w:eastAsia="宋体" w:cs="宋体"/>
          <w:kern w:val="0"/>
          <w:sz w:val="24"/>
          <w:szCs w:val="24"/>
          <w:lang w:val="en-US" w:eastAsia="zh-CN" w:bidi="ar"/>
        </w:rPr>
      </w:pPr>
    </w:p>
    <w:p w14:paraId="427354EB">
      <w:pPr>
        <w:keepNext w:val="0"/>
        <w:keepLines w:val="0"/>
        <w:widowControl/>
        <w:numPr>
          <w:ilvl w:val="0"/>
          <w:numId w:val="1"/>
        </w:numPr>
        <w:suppressLineNumbers w:val="0"/>
        <w:ind w:left="0" w:lef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人才服务。联合相关高校为参赛企业举办创新创业优秀人才招聘，推荐参赛企业参加国家高新区科研助理岗招聘活动。依托“百园百校万企”合作行动，为高新区、企业提供人才服务</w:t>
      </w:r>
      <w:r>
        <w:rPr>
          <w:rFonts w:hint="eastAsia" w:ascii="宋体" w:hAnsi="宋体" w:eastAsia="宋体" w:cs="宋体"/>
          <w:kern w:val="0"/>
          <w:sz w:val="24"/>
          <w:szCs w:val="24"/>
          <w:lang w:val="en-US" w:eastAsia="zh-CN" w:bidi="ar"/>
        </w:rPr>
        <w:t>。</w:t>
      </w:r>
    </w:p>
    <w:p w14:paraId="73E4CD5B">
      <w:pPr>
        <w:keepNext w:val="0"/>
        <w:keepLines w:val="0"/>
        <w:widowControl/>
        <w:numPr>
          <w:numId w:val="0"/>
        </w:numPr>
        <w:suppressLineNumbers w:val="0"/>
        <w:ind w:leftChars="0"/>
        <w:jc w:val="left"/>
        <w:rPr>
          <w:rFonts w:hint="eastAsia" w:ascii="宋体" w:hAnsi="宋体" w:eastAsia="宋体" w:cs="宋体"/>
          <w:kern w:val="0"/>
          <w:sz w:val="24"/>
          <w:szCs w:val="24"/>
          <w:lang w:val="en-US" w:eastAsia="zh-CN" w:bidi="ar"/>
        </w:rPr>
      </w:pPr>
    </w:p>
    <w:p w14:paraId="1D2EAC29">
      <w:pPr>
        <w:keepNext w:val="0"/>
        <w:keepLines w:val="0"/>
        <w:widowControl/>
        <w:numPr>
          <w:ilvl w:val="0"/>
          <w:numId w:val="1"/>
        </w:numPr>
        <w:suppressLineNumbers w:val="0"/>
        <w:ind w:left="0" w:leftChars="0" w:firstLine="0" w:firstLine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服务。定向为获奖企业推送相关领域政府投资项目规划信息、科研项目指南信息、武器装备采购需求等信息；根据获奖企业技术特点和需求方向，精准推送先进领域技术成果信息，并促进与成果转化意向单位洽谈合作；向大型工业企业、科研院所推送获奖企业的项目产品、知识产权、技术成果信息，促进协同创新和产研合作。</w:t>
      </w:r>
    </w:p>
    <w:p w14:paraId="78632B17">
      <w:pPr>
        <w:keepNext w:val="0"/>
        <w:keepLines w:val="0"/>
        <w:widowControl/>
        <w:numPr>
          <w:numId w:val="0"/>
        </w:numPr>
        <w:suppressLineNumbers w:val="0"/>
        <w:ind w:leftChars="0"/>
        <w:jc w:val="left"/>
        <w:rPr>
          <w:rFonts w:hint="eastAsia" w:ascii="宋体" w:hAnsi="宋体" w:eastAsia="宋体" w:cs="宋体"/>
          <w:kern w:val="0"/>
          <w:sz w:val="24"/>
          <w:szCs w:val="24"/>
          <w:lang w:val="en-US" w:eastAsia="zh-CN" w:bidi="ar"/>
        </w:rPr>
      </w:pPr>
    </w:p>
    <w:p w14:paraId="0505EC13">
      <w:pPr>
        <w:keepNext w:val="0"/>
        <w:keepLines w:val="0"/>
        <w:widowControl/>
        <w:numPr>
          <w:ilvl w:val="0"/>
          <w:numId w:val="1"/>
        </w:numPr>
        <w:suppressLineNumbers w:val="0"/>
        <w:ind w:left="0" w:lef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培训对接。组织“创新创业训练营”等活动，为优秀参赛企业提供专项政策对接、与大企业合作、新技术场景应用等增值服务。联合军工行业有关部门，为优势企业搭建快速参军渠道，提供政策宣讲、资质辅导、技术评价、供需对接、军工科研项目咨询、市场开拓等服务。</w:t>
      </w:r>
    </w:p>
    <w:p w14:paraId="19A83620">
      <w:pPr>
        <w:keepNext w:val="0"/>
        <w:keepLines w:val="0"/>
        <w:widowControl/>
        <w:numPr>
          <w:numId w:val="0"/>
        </w:numPr>
        <w:suppressLineNumbers w:val="0"/>
        <w:ind w:leftChars="0"/>
        <w:jc w:val="left"/>
        <w:rPr>
          <w:rFonts w:hint="eastAsia" w:ascii="宋体" w:hAnsi="宋体" w:eastAsia="宋体" w:cs="宋体"/>
          <w:kern w:val="0"/>
          <w:sz w:val="24"/>
          <w:szCs w:val="24"/>
          <w:lang w:val="en-US" w:eastAsia="zh-CN" w:bidi="ar"/>
        </w:rPr>
      </w:pPr>
    </w:p>
    <w:p w14:paraId="7A181E27">
      <w:pPr>
        <w:keepNext w:val="0"/>
        <w:keepLines w:val="0"/>
        <w:widowControl/>
        <w:numPr>
          <w:ilvl w:val="0"/>
          <w:numId w:val="1"/>
        </w:numPr>
        <w:suppressLineNumbers w:val="0"/>
        <w:ind w:left="0" w:lef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专项支持。支持符合条件的参赛企业纳入工业和信息化部优质企业梯度培育体系，争取国家颠覆性技术创新重点专项支持。</w:t>
      </w:r>
    </w:p>
    <w:p w14:paraId="5A06245F">
      <w:pPr>
        <w:keepNext w:val="0"/>
        <w:keepLines w:val="0"/>
        <w:widowControl/>
        <w:numPr>
          <w:ilvl w:val="0"/>
          <w:numId w:val="1"/>
        </w:numPr>
        <w:suppressLineNumbers w:val="0"/>
        <w:ind w:left="0" w:leftChars="0" w:firstLine="0" w:firstLineChars="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宣传展示。通过中国创新创业大赛官网、合作媒体渠道、大赛附属论坛、展览、培训等活动，对赛事进行宣传展示。</w:t>
      </w:r>
    </w:p>
    <w:p w14:paraId="0022BEE2">
      <w:pPr>
        <w:keepNext w:val="0"/>
        <w:keepLines w:val="0"/>
        <w:widowControl/>
        <w:numPr>
          <w:numId w:val="0"/>
        </w:numPr>
        <w:suppressLineNumbers w:val="0"/>
        <w:ind w:leftChars="0"/>
        <w:jc w:val="left"/>
        <w:rPr>
          <w:rFonts w:hint="eastAsia" w:ascii="宋体" w:hAnsi="宋体" w:eastAsia="宋体" w:cs="宋体"/>
          <w:sz w:val="24"/>
          <w:szCs w:val="24"/>
        </w:rPr>
      </w:pPr>
    </w:p>
    <w:p w14:paraId="7A2FEDFC">
      <w:pPr>
        <w:keepNext w:val="0"/>
        <w:keepLines w:val="0"/>
        <w:widowControl/>
        <w:numPr>
          <w:numId w:val="0"/>
        </w:numPr>
        <w:suppressLineNumbers w:val="0"/>
        <w:ind w:leftChars="0"/>
        <w:jc w:val="left"/>
        <w:rPr>
          <w:rStyle w:val="5"/>
          <w:rFonts w:hint="eastAsia" w:ascii="宋体" w:hAnsi="宋体" w:eastAsia="宋体" w:cs="宋体"/>
          <w:spacing w:val="6"/>
          <w:kern w:val="0"/>
          <w:sz w:val="24"/>
          <w:szCs w:val="24"/>
          <w:u w:val="none"/>
          <w:lang w:val="en-US" w:eastAsia="zh-CN" w:bidi="ar"/>
        </w:rPr>
      </w:pPr>
      <w:r>
        <w:rPr>
          <w:rStyle w:val="5"/>
          <w:rFonts w:hint="eastAsia" w:ascii="宋体" w:hAnsi="宋体" w:eastAsia="宋体" w:cs="宋体"/>
          <w:spacing w:val="6"/>
          <w:kern w:val="0"/>
          <w:sz w:val="24"/>
          <w:szCs w:val="24"/>
          <w:u w:val="none"/>
          <w:lang w:val="en-US" w:eastAsia="zh-CN" w:bidi="ar"/>
        </w:rPr>
        <w:t>联系人：</w:t>
      </w:r>
    </w:p>
    <w:p w14:paraId="51D88BDF">
      <w:pPr>
        <w:keepNext w:val="0"/>
        <w:keepLines w:val="0"/>
        <w:widowControl/>
        <w:numPr>
          <w:numId w:val="0"/>
        </w:numPr>
        <w:suppressLineNumbers w:val="0"/>
        <w:ind w:left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唐旭东　13917662089</w:t>
      </w:r>
    </w:p>
    <w:p w14:paraId="48874A10">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8CAAE"/>
    <w:multiLevelType w:val="singleLevel"/>
    <w:tmpl w:val="0878CA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MzZGZlOTIzNzRkYmFjYmEwNTRjNzQ2OWFkNTYifQ=="/>
  </w:docVars>
  <w:rsids>
    <w:rsidRoot w:val="494A4942"/>
    <w:rsid w:val="494A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2024-09-18T02:12:00Z</dcterms:created>
  <dc:creator>Bowen</dc:creator>
  <cp:lastModifiedBy>Bowen</cp:lastModifiedBy>
  <dcterms:modified xsi:type="dcterms:W3CDTF">2024-09-18T02:17:36Z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DF4EAE837F8545ADACFB5092074556BE_11</vt:lpwstr>
  </property>
</Properties>
</file>