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ABD0E">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附件3</w:t>
      </w:r>
    </w:p>
    <w:p w14:paraId="10498965">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第十三届中国创新创业大赛颠覆性技术创新大赛</w:t>
      </w:r>
    </w:p>
    <w:p w14:paraId="1DD4A2BB">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（未来材料领域赛）组织方案</w:t>
      </w:r>
    </w:p>
    <w:p w14:paraId="3F0F0265">
      <w:pPr>
        <w:keepNext w:val="0"/>
        <w:keepLines w:val="0"/>
        <w:widowControl/>
        <w:suppressLineNumbers w:val="0"/>
        <w:spacing w:line="240" w:lineRule="auto"/>
        <w:jc w:val="left"/>
        <w:rPr>
          <w:rFonts w:hint="eastAsia" w:ascii="宋体" w:hAnsi="宋体" w:eastAsia="宋体" w:cs="宋体"/>
          <w:spacing w:val="6"/>
          <w:kern w:val="0"/>
          <w:sz w:val="24"/>
          <w:szCs w:val="24"/>
          <w:lang w:val="en-US" w:eastAsia="zh-CN" w:bidi="ar"/>
        </w:rPr>
      </w:pPr>
      <w:r>
        <w:rPr>
          <w:rStyle w:val="5"/>
          <w:rFonts w:ascii="宋体" w:hAnsi="宋体" w:eastAsia="宋体" w:cs="宋体"/>
          <w:spacing w:val="6"/>
          <w:kern w:val="0"/>
          <w:sz w:val="24"/>
          <w:szCs w:val="24"/>
          <w:lang w:val="en-US" w:eastAsia="zh-CN" w:bidi="ar"/>
        </w:rPr>
        <w:br w:type="textWrapping"/>
      </w:r>
      <w:r>
        <w:rPr>
          <w:rFonts w:hint="eastAsia" w:ascii="宋体" w:hAnsi="宋体" w:eastAsia="宋体" w:cs="宋体"/>
          <w:spacing w:val="6"/>
          <w:kern w:val="0"/>
          <w:sz w:val="24"/>
          <w:szCs w:val="24"/>
          <w:lang w:val="en-US" w:eastAsia="zh-CN" w:bidi="ar"/>
        </w:rPr>
        <w:t>根据工业和信息化部火炬中心《关于举办第十三届中国创新创业大赛的通知》（火炬〔2024〕8号）要求，制定第十三届中国创新创业大赛颠覆性技术创新大赛（未来材料领域赛）方案。</w:t>
      </w:r>
    </w:p>
    <w:p w14:paraId="058D86A6">
      <w:pPr>
        <w:keepNext w:val="0"/>
        <w:keepLines w:val="0"/>
        <w:widowControl/>
        <w:suppressLineNumbers w:val="0"/>
        <w:spacing w:line="240" w:lineRule="auto"/>
        <w:jc w:val="left"/>
        <w:rPr>
          <w:rFonts w:hint="eastAsia" w:ascii="宋体" w:hAnsi="宋体" w:eastAsia="宋体" w:cs="宋体"/>
          <w:spacing w:val="6"/>
          <w:kern w:val="0"/>
          <w:sz w:val="17"/>
          <w:szCs w:val="17"/>
          <w:lang w:val="en-US" w:eastAsia="zh-CN" w:bidi="ar"/>
        </w:rPr>
      </w:pPr>
    </w:p>
    <w:p w14:paraId="34281C7B">
      <w:pPr>
        <w:keepNext w:val="0"/>
        <w:keepLines w:val="0"/>
        <w:widowControl/>
        <w:suppressLineNumbers w:val="0"/>
        <w:spacing w:line="240" w:lineRule="auto"/>
        <w:jc w:val="left"/>
        <w:rPr>
          <w:rStyle w:val="5"/>
          <w:rFonts w:hint="eastAsia" w:ascii="宋体" w:hAnsi="宋体" w:eastAsia="宋体" w:cs="宋体"/>
          <w:spacing w:val="6"/>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一</w:t>
      </w:r>
      <w:r>
        <w:rPr>
          <w:rStyle w:val="5"/>
          <w:rFonts w:hint="eastAsia" w:ascii="宋体" w:hAnsi="宋体" w:eastAsia="宋体" w:cs="宋体"/>
          <w:spacing w:val="6"/>
          <w:kern w:val="0"/>
          <w:sz w:val="24"/>
          <w:szCs w:val="24"/>
          <w:u w:val="none"/>
          <w:lang w:val="en-US" w:eastAsia="zh-CN" w:bidi="ar"/>
        </w:rPr>
        <w:t>、指导思想</w:t>
      </w:r>
    </w:p>
    <w:p w14:paraId="308086E9">
      <w:pPr>
        <w:keepNext w:val="0"/>
        <w:keepLines w:val="0"/>
        <w:widowControl/>
        <w:suppressLineNumbers w:val="0"/>
        <w:spacing w:line="240" w:lineRule="auto"/>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084DB16A">
      <w:pPr>
        <w:keepNext w:val="0"/>
        <w:keepLines w:val="0"/>
        <w:widowControl/>
        <w:suppressLineNumbers w:val="0"/>
        <w:spacing w:line="24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1939F690">
      <w:pPr>
        <w:keepNext w:val="0"/>
        <w:keepLines w:val="0"/>
        <w:widowControl/>
        <w:suppressLineNumbers w:val="0"/>
        <w:spacing w:line="240" w:lineRule="auto"/>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二</w:t>
      </w:r>
      <w:r>
        <w:rPr>
          <w:rStyle w:val="5"/>
          <w:rFonts w:hint="eastAsia" w:ascii="宋体" w:hAnsi="宋体" w:eastAsia="宋体" w:cs="宋体"/>
          <w:spacing w:val="6"/>
          <w:kern w:val="0"/>
          <w:sz w:val="24"/>
          <w:szCs w:val="24"/>
          <w:u w:val="none"/>
          <w:lang w:val="en-US" w:eastAsia="zh-CN" w:bidi="ar"/>
        </w:rPr>
        <w:t>、赛事安排</w:t>
      </w:r>
      <w:r>
        <w:rPr>
          <w:rStyle w:val="5"/>
          <w:rFonts w:hint="eastAsia" w:ascii="宋体" w:hAnsi="宋体" w:eastAsia="宋体" w:cs="宋体"/>
          <w:spacing w:val="7"/>
          <w:kern w:val="0"/>
          <w:sz w:val="24"/>
          <w:szCs w:val="24"/>
          <w:u w:val="none"/>
          <w:lang w:val="en-US" w:eastAsia="zh-CN" w:bidi="ar"/>
        </w:rPr>
        <w:t xml:space="preserve">  </w:t>
      </w:r>
    </w:p>
    <w:p w14:paraId="002A6651">
      <w:pPr>
        <w:keepNext w:val="0"/>
        <w:keepLines w:val="0"/>
        <w:widowControl/>
        <w:suppressLineNumbers w:val="0"/>
        <w:spacing w:line="240" w:lineRule="auto"/>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56E2568E">
      <w:pPr>
        <w:keepNext w:val="0"/>
        <w:keepLines w:val="0"/>
        <w:widowControl/>
        <w:suppressLineNumbers w:val="0"/>
        <w:spacing w:line="24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未来材料领域赛采用“公开海选”方式，面向社会公开征集具有颠覆性技术苗头的项目参赛，通过层层筛选和项目比拼，优胜项目择优进入决赛。符合参赛条件的单位统一登录中国创新创业大赛网站（http://www.cxcyds.com）—颠覆性技术创新大赛入口报名参赛。同一参赛单位（大专院校除外）仅可报名1个项目参赛；大专院校报名项目总数量不超过3个。比赛不向参赛单位收取任何费用。</w:t>
      </w:r>
    </w:p>
    <w:p w14:paraId="7A59662A">
      <w:pPr>
        <w:keepNext w:val="0"/>
        <w:keepLines w:val="0"/>
        <w:widowControl/>
        <w:suppressLineNumbers w:val="0"/>
        <w:spacing w:line="240" w:lineRule="auto"/>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三</w:t>
      </w:r>
      <w:r>
        <w:rPr>
          <w:rStyle w:val="5"/>
          <w:rFonts w:hint="eastAsia" w:ascii="宋体" w:hAnsi="宋体" w:eastAsia="宋体" w:cs="宋体"/>
          <w:spacing w:val="6"/>
          <w:kern w:val="0"/>
          <w:sz w:val="24"/>
          <w:szCs w:val="24"/>
          <w:u w:val="none"/>
          <w:lang w:val="en-US" w:eastAsia="zh-CN" w:bidi="ar"/>
        </w:rPr>
        <w:t>、组织机构</w:t>
      </w:r>
      <w:r>
        <w:rPr>
          <w:rStyle w:val="5"/>
          <w:rFonts w:hint="eastAsia" w:ascii="宋体" w:hAnsi="宋体" w:eastAsia="宋体" w:cs="宋体"/>
          <w:spacing w:val="7"/>
          <w:kern w:val="0"/>
          <w:sz w:val="24"/>
          <w:szCs w:val="24"/>
          <w:u w:val="none"/>
          <w:lang w:val="en-US" w:eastAsia="zh-CN" w:bidi="ar"/>
        </w:rPr>
        <w:t>   </w:t>
      </w:r>
    </w:p>
    <w:p w14:paraId="0BB9757A">
      <w:pPr>
        <w:keepNext w:val="0"/>
        <w:keepLines w:val="0"/>
        <w:widowControl/>
        <w:suppressLineNumbers w:val="0"/>
        <w:spacing w:line="240" w:lineRule="auto"/>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xml:space="preserve">      </w:t>
      </w:r>
    </w:p>
    <w:p w14:paraId="31C5784D">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主办单位：</w:t>
      </w:r>
    </w:p>
    <w:p w14:paraId="2CA6D4C1">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工业和信息化部火炬高技术产业开发中心</w:t>
      </w:r>
    </w:p>
    <w:p w14:paraId="756A3682">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承办单位：</w:t>
      </w:r>
    </w:p>
    <w:p w14:paraId="1D4C713D">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大连高新技术产业园区管理委员会</w:t>
      </w:r>
    </w:p>
    <w:p w14:paraId="53FBD496">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协办单位：</w:t>
      </w:r>
    </w:p>
    <w:p w14:paraId="744F7AC9">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海创投资集团有限公司</w:t>
      </w:r>
    </w:p>
    <w:p w14:paraId="38CD5182">
      <w:pPr>
        <w:keepNext w:val="0"/>
        <w:keepLines w:val="0"/>
        <w:widowControl/>
        <w:suppressLineNumbers w:val="0"/>
        <w:spacing w:line="360" w:lineRule="auto"/>
        <w:ind w:firstLine="420" w:firstLineChars="0"/>
        <w:jc w:val="left"/>
        <w:rPr>
          <w:rStyle w:val="5"/>
          <w:rFonts w:hint="eastAsia" w:ascii="宋体" w:hAnsi="宋体" w:eastAsia="宋体" w:cs="宋体"/>
          <w:spacing w:val="6"/>
          <w:kern w:val="0"/>
          <w:sz w:val="24"/>
          <w:szCs w:val="24"/>
          <w:lang w:val="en-US" w:eastAsia="zh-CN" w:bidi="ar"/>
        </w:rPr>
      </w:pPr>
      <w:r>
        <w:rPr>
          <w:rStyle w:val="5"/>
          <w:rFonts w:hint="eastAsia" w:ascii="宋体" w:hAnsi="宋体" w:eastAsia="宋体" w:cs="宋体"/>
          <w:spacing w:val="6"/>
          <w:kern w:val="0"/>
          <w:sz w:val="24"/>
          <w:szCs w:val="24"/>
          <w:lang w:val="en-US" w:eastAsia="zh-CN" w:bidi="ar"/>
        </w:rPr>
        <w:t>支持单位：</w:t>
      </w:r>
    </w:p>
    <w:p w14:paraId="7C71744F">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招商银行科技创新公益基金</w:t>
      </w:r>
    </w:p>
    <w:p w14:paraId="339145A6">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新华社中国经济信息社</w:t>
      </w:r>
    </w:p>
    <w:p w14:paraId="01929DBF">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国家国防科技工业局经济技术发展中心</w:t>
      </w:r>
    </w:p>
    <w:p w14:paraId="05F14137">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中国科学院科技战略咨询研究院</w:t>
      </w:r>
    </w:p>
    <w:p w14:paraId="3035C4A4">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京津冀国家技术创新中心</w:t>
      </w:r>
    </w:p>
    <w:p w14:paraId="662E2305">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先进技术成果长三角转化中心</w:t>
      </w:r>
    </w:p>
    <w:p w14:paraId="482617FB">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The Innovation期刊</w:t>
      </w:r>
    </w:p>
    <w:p w14:paraId="21992922">
      <w:pPr>
        <w:keepNext w:val="0"/>
        <w:keepLines w:val="0"/>
        <w:widowControl/>
        <w:suppressLineNumbers w:val="0"/>
        <w:spacing w:line="360" w:lineRule="auto"/>
        <w:ind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中国邮政储蓄银行股份有限公司大连分行</w:t>
      </w:r>
    </w:p>
    <w:p w14:paraId="5033AF5A">
      <w:pPr>
        <w:keepNext w:val="0"/>
        <w:keepLines w:val="0"/>
        <w:widowControl/>
        <w:suppressLineNumbers w:val="0"/>
        <w:spacing w:line="240" w:lineRule="auto"/>
        <w:jc w:val="left"/>
        <w:rPr>
          <w:rFonts w:hint="eastAsia" w:ascii="宋体" w:hAnsi="宋体" w:eastAsia="宋体" w:cs="宋体"/>
          <w:spacing w:val="6"/>
          <w:kern w:val="0"/>
          <w:sz w:val="24"/>
          <w:szCs w:val="24"/>
          <w:lang w:val="en-US" w:eastAsia="zh-CN" w:bidi="ar"/>
        </w:rPr>
      </w:pPr>
    </w:p>
    <w:p w14:paraId="7EAEA0F7">
      <w:pPr>
        <w:keepNext w:val="0"/>
        <w:keepLines w:val="0"/>
        <w:widowControl/>
        <w:suppressLineNumbers w:val="0"/>
        <w:spacing w:line="240" w:lineRule="auto"/>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四</w:t>
      </w:r>
      <w:r>
        <w:rPr>
          <w:rStyle w:val="5"/>
          <w:rFonts w:hint="eastAsia" w:ascii="宋体" w:hAnsi="宋体" w:eastAsia="宋体" w:cs="宋体"/>
          <w:spacing w:val="6"/>
          <w:kern w:val="0"/>
          <w:sz w:val="24"/>
          <w:szCs w:val="24"/>
          <w:u w:val="none"/>
          <w:lang w:val="en-US" w:eastAsia="zh-CN" w:bidi="ar"/>
        </w:rPr>
        <w:t>、参赛要求</w:t>
      </w:r>
      <w:r>
        <w:rPr>
          <w:rStyle w:val="5"/>
          <w:rFonts w:hint="eastAsia" w:ascii="宋体" w:hAnsi="宋体" w:eastAsia="宋体" w:cs="宋体"/>
          <w:spacing w:val="7"/>
          <w:kern w:val="0"/>
          <w:sz w:val="24"/>
          <w:szCs w:val="24"/>
          <w:u w:val="none"/>
          <w:lang w:val="en-US" w:eastAsia="zh-CN" w:bidi="ar"/>
        </w:rPr>
        <w:t xml:space="preserve">    </w:t>
      </w:r>
    </w:p>
    <w:p w14:paraId="1D299299">
      <w:pPr>
        <w:keepNext w:val="0"/>
        <w:keepLines w:val="0"/>
        <w:widowControl/>
        <w:suppressLineNumbers w:val="0"/>
        <w:spacing w:line="240" w:lineRule="auto"/>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4C87C37E">
      <w:pPr>
        <w:keepNext w:val="0"/>
        <w:keepLines w:val="0"/>
        <w:widowControl/>
        <w:numPr>
          <w:ilvl w:val="0"/>
          <w:numId w:val="1"/>
        </w:numPr>
        <w:suppressLineNumbers w:val="0"/>
        <w:spacing w:line="240" w:lineRule="auto"/>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参赛单位要求参赛单位应是具有独立法人资格的企事业单位等，经营规范、社会信誉良好、无知识产权纠纷，且具有较强的创新能力和一定的项目实施条件。</w:t>
      </w:r>
    </w:p>
    <w:p w14:paraId="262ABBA6">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p>
    <w:p w14:paraId="6AB4D2F0">
      <w:pPr>
        <w:keepNext w:val="0"/>
        <w:keepLines w:val="0"/>
        <w:widowControl/>
        <w:numPr>
          <w:ilvl w:val="0"/>
          <w:numId w:val="1"/>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参赛项目要求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77F1150F">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shd w:val="clear" w:fill="0080FF"/>
          <w:lang w:val="en-US" w:eastAsia="zh-CN" w:bidi="ar"/>
        </w:rPr>
      </w:pPr>
    </w:p>
    <w:p w14:paraId="14F43D8A">
      <w:pPr>
        <w:keepNext w:val="0"/>
        <w:keepLines w:val="0"/>
        <w:widowControl/>
        <w:numPr>
          <w:ilvl w:val="0"/>
          <w:numId w:val="0"/>
        </w:numPr>
        <w:suppressLineNumbers w:val="0"/>
        <w:spacing w:line="240" w:lineRule="auto"/>
        <w:ind w:leftChars="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五</w:t>
      </w:r>
      <w:r>
        <w:rPr>
          <w:rStyle w:val="5"/>
          <w:rFonts w:hint="eastAsia" w:ascii="宋体" w:hAnsi="宋体" w:eastAsia="宋体" w:cs="宋体"/>
          <w:spacing w:val="6"/>
          <w:kern w:val="0"/>
          <w:sz w:val="24"/>
          <w:szCs w:val="24"/>
          <w:u w:val="none"/>
          <w:lang w:val="en-US" w:eastAsia="zh-CN" w:bidi="ar"/>
        </w:rPr>
        <w:t>、技术方向</w:t>
      </w:r>
      <w:r>
        <w:rPr>
          <w:rStyle w:val="5"/>
          <w:rFonts w:hint="eastAsia" w:ascii="宋体" w:hAnsi="宋体" w:eastAsia="宋体" w:cs="宋体"/>
          <w:spacing w:val="7"/>
          <w:kern w:val="0"/>
          <w:sz w:val="24"/>
          <w:szCs w:val="24"/>
          <w:u w:val="none"/>
          <w:lang w:val="en-US" w:eastAsia="zh-CN" w:bidi="ar"/>
        </w:rPr>
        <w:t xml:space="preserve">    </w:t>
      </w:r>
    </w:p>
    <w:p w14:paraId="0EB39841">
      <w:pPr>
        <w:keepNext w:val="0"/>
        <w:keepLines w:val="0"/>
        <w:widowControl/>
        <w:numPr>
          <w:ilvl w:val="0"/>
          <w:numId w:val="0"/>
        </w:numPr>
        <w:suppressLineNumbers w:val="0"/>
        <w:spacing w:line="240" w:lineRule="auto"/>
        <w:ind w:leftChars="0"/>
        <w:jc w:val="left"/>
        <w:rPr>
          <w:rStyle w:val="5"/>
          <w:rFonts w:hint="eastAsia" w:ascii="宋体" w:hAnsi="宋体" w:eastAsia="宋体" w:cs="宋体"/>
          <w:spacing w:val="7"/>
          <w:kern w:val="0"/>
          <w:sz w:val="24"/>
          <w:szCs w:val="24"/>
          <w:u w:val="single"/>
          <w:lang w:val="en-US" w:eastAsia="zh-CN" w:bidi="ar"/>
        </w:rPr>
      </w:pPr>
      <w:r>
        <w:rPr>
          <w:rStyle w:val="5"/>
          <w:rFonts w:hint="eastAsia" w:ascii="宋体" w:hAnsi="宋体" w:eastAsia="宋体" w:cs="宋体"/>
          <w:spacing w:val="7"/>
          <w:kern w:val="0"/>
          <w:sz w:val="24"/>
          <w:szCs w:val="24"/>
          <w:u w:val="none"/>
          <w:lang w:val="en-US" w:eastAsia="zh-CN" w:bidi="ar"/>
        </w:rPr>
        <w:t>     </w:t>
      </w:r>
    </w:p>
    <w:p w14:paraId="309BC023">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重点聚焦未来材料领域，以新材料前沿引领技术和颠覆性技术研发应用为核心，面向有色金属、化工新材料、无机非金属、高性能碳纤维、先进半导体、超导材料等方向。</w:t>
      </w:r>
    </w:p>
    <w:p w14:paraId="3D27BC3C">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53CB5A69">
      <w:pPr>
        <w:keepNext w:val="0"/>
        <w:keepLines w:val="0"/>
        <w:widowControl/>
        <w:numPr>
          <w:ilvl w:val="0"/>
          <w:numId w:val="0"/>
        </w:numPr>
        <w:suppressLineNumbers w:val="0"/>
        <w:spacing w:line="240" w:lineRule="auto"/>
        <w:ind w:leftChars="0"/>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六</w:t>
      </w:r>
      <w:r>
        <w:rPr>
          <w:rStyle w:val="5"/>
          <w:rFonts w:hint="eastAsia" w:ascii="宋体" w:hAnsi="宋体" w:eastAsia="宋体" w:cs="宋体"/>
          <w:spacing w:val="6"/>
          <w:kern w:val="0"/>
          <w:sz w:val="24"/>
          <w:szCs w:val="24"/>
          <w:u w:val="none"/>
          <w:lang w:val="en-US" w:eastAsia="zh-CN" w:bidi="ar"/>
        </w:rPr>
        <w:t>、赛程安排</w:t>
      </w:r>
      <w:r>
        <w:rPr>
          <w:rStyle w:val="5"/>
          <w:rFonts w:hint="eastAsia" w:ascii="宋体" w:hAnsi="宋体" w:eastAsia="宋体" w:cs="宋体"/>
          <w:spacing w:val="7"/>
          <w:kern w:val="0"/>
          <w:sz w:val="24"/>
          <w:szCs w:val="24"/>
          <w:u w:val="none"/>
          <w:lang w:val="en-US" w:eastAsia="zh-CN" w:bidi="ar"/>
        </w:rPr>
        <w:t>         </w:t>
      </w:r>
    </w:p>
    <w:p w14:paraId="3195B3D0">
      <w:pPr>
        <w:keepNext w:val="0"/>
        <w:keepLines w:val="0"/>
        <w:widowControl/>
        <w:numPr>
          <w:ilvl w:val="0"/>
          <w:numId w:val="2"/>
        </w:numPr>
        <w:suppressLineNumbers w:val="0"/>
        <w:spacing w:line="240" w:lineRule="auto"/>
        <w:ind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自主报名。各参赛单位通过大赛官方网站进行统一注册报名，同时承诺对填报信息的准确、真实、合法、有效性负责。报名截止时间为2024年10月12日。</w:t>
      </w:r>
    </w:p>
    <w:p w14:paraId="2B04D82A">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p>
    <w:p w14:paraId="081BCE0A">
      <w:pPr>
        <w:keepNext w:val="0"/>
        <w:keepLines w:val="0"/>
        <w:widowControl/>
        <w:numPr>
          <w:ilvl w:val="0"/>
          <w:numId w:val="2"/>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项目审查和初筛。对报名参赛项目，按照项目合规性审查标准进行审查，再根据颠覆性技术评议标准进行初步筛选，确定进入领域赛项目名单。项目初筛时间为2024年10月中旬。</w:t>
      </w:r>
    </w:p>
    <w:p w14:paraId="5197362C">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0C1F4302">
      <w:pPr>
        <w:keepNext w:val="0"/>
        <w:keepLines w:val="0"/>
        <w:widowControl/>
        <w:numPr>
          <w:ilvl w:val="0"/>
          <w:numId w:val="2"/>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比赛说明。</w:t>
      </w:r>
    </w:p>
    <w:p w14:paraId="102AB685">
      <w:pPr>
        <w:keepNext w:val="0"/>
        <w:keepLines w:val="0"/>
        <w:widowControl/>
        <w:numPr>
          <w:ilvl w:val="0"/>
          <w:numId w:val="0"/>
        </w:numPr>
        <w:suppressLineNumbers w:val="0"/>
        <w:spacing w:line="240" w:lineRule="auto"/>
        <w:ind w:left="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1.比赛分组。未来材料领域赛将参赛单位分组并排序，参加评议的评委随机分组组成评议组，项目组与评议组随机匹配。</w:t>
      </w:r>
    </w:p>
    <w:p w14:paraId="43654B7F">
      <w:pPr>
        <w:keepNext w:val="0"/>
        <w:keepLines w:val="0"/>
        <w:widowControl/>
        <w:numPr>
          <w:ilvl w:val="0"/>
          <w:numId w:val="0"/>
        </w:numPr>
        <w:suppressLineNumbers w:val="0"/>
        <w:spacing w:line="240" w:lineRule="auto"/>
        <w:ind w:left="420"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2.比赛模式。未来材料领域赛采用“12+8”模式封闭式陈述和答辩，参赛选手陈述时间12分钟，</w:t>
      </w:r>
    </w:p>
    <w:p w14:paraId="64DDD6C8">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议组问答时间8分钟。</w:t>
      </w:r>
    </w:p>
    <w:p w14:paraId="555A35B2">
      <w:pPr>
        <w:keepNext w:val="0"/>
        <w:keepLines w:val="0"/>
        <w:widowControl/>
        <w:numPr>
          <w:ilvl w:val="0"/>
          <w:numId w:val="0"/>
        </w:numPr>
        <w:suppressLineNumbers w:val="0"/>
        <w:spacing w:line="240" w:lineRule="auto"/>
        <w:ind w:left="420"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3.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152B3BFC">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p>
    <w:p w14:paraId="64F01025">
      <w:pPr>
        <w:keepNext w:val="0"/>
        <w:keepLines w:val="0"/>
        <w:widowControl/>
        <w:numPr>
          <w:ilvl w:val="0"/>
          <w:numId w:val="2"/>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组织方案。</w:t>
      </w:r>
    </w:p>
    <w:p w14:paraId="2BC2677D">
      <w:pPr>
        <w:keepNext w:val="0"/>
        <w:keepLines w:val="0"/>
        <w:widowControl/>
        <w:numPr>
          <w:ilvl w:val="0"/>
          <w:numId w:val="0"/>
        </w:numPr>
        <w:suppressLineNumbers w:val="0"/>
        <w:spacing w:line="240" w:lineRule="auto"/>
        <w:ind w:left="0" w:leftChars="0" w:firstLine="42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1.比赛时间：2024年10月21日—10月23日。</w:t>
      </w:r>
    </w:p>
    <w:p w14:paraId="3AA7CF0A">
      <w:pPr>
        <w:keepNext w:val="0"/>
        <w:keepLines w:val="0"/>
        <w:widowControl/>
        <w:numPr>
          <w:ilvl w:val="0"/>
          <w:numId w:val="0"/>
        </w:numPr>
        <w:suppressLineNumbers w:val="0"/>
        <w:spacing w:line="240" w:lineRule="auto"/>
        <w:ind w:left="420"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2.参赛人员。每个参赛项目单位选派1—2名代表作为选手参加比赛。其中1名为参赛项目的负责</w:t>
      </w:r>
    </w:p>
    <w:p w14:paraId="075E42B8">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或研发团队主要人员作为陈述和答辩人，另可选派1名助手。</w:t>
      </w:r>
    </w:p>
    <w:p w14:paraId="30787157">
      <w:pPr>
        <w:keepNext w:val="0"/>
        <w:keepLines w:val="0"/>
        <w:widowControl/>
        <w:numPr>
          <w:ilvl w:val="0"/>
          <w:numId w:val="0"/>
        </w:numPr>
        <w:suppressLineNumbers w:val="0"/>
        <w:spacing w:line="240" w:lineRule="auto"/>
        <w:ind w:left="42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3.比赛展示。参赛选手须提供比赛使用的PPT电子版。参赛选手可在比赛中展示产品、样品等相</w:t>
      </w:r>
    </w:p>
    <w:p w14:paraId="39B49B86">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实物模型。</w:t>
      </w:r>
    </w:p>
    <w:p w14:paraId="71C5BE99">
      <w:pPr>
        <w:keepNext w:val="0"/>
        <w:keepLines w:val="0"/>
        <w:widowControl/>
        <w:numPr>
          <w:ilvl w:val="0"/>
          <w:numId w:val="0"/>
        </w:numPr>
        <w:suppressLineNumbers w:val="0"/>
        <w:spacing w:line="240" w:lineRule="auto"/>
        <w:ind w:left="420" w:left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4.参赛费用。未来材料领域赛不向参赛单位收取任何费用，不统一安排食宿，差旅费、食宿费自理。</w:t>
      </w:r>
    </w:p>
    <w:p w14:paraId="6DECCD90">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shd w:val="clear" w:fill="0080FF"/>
          <w:lang w:val="en-US" w:eastAsia="zh-CN" w:bidi="ar"/>
        </w:rPr>
      </w:pPr>
    </w:p>
    <w:p w14:paraId="2F420460">
      <w:pPr>
        <w:keepNext w:val="0"/>
        <w:keepLines w:val="0"/>
        <w:widowControl/>
        <w:numPr>
          <w:ilvl w:val="0"/>
          <w:numId w:val="0"/>
        </w:numPr>
        <w:suppressLineNumbers w:val="0"/>
        <w:spacing w:line="240" w:lineRule="auto"/>
        <w:jc w:val="left"/>
        <w:rPr>
          <w:rStyle w:val="5"/>
          <w:rFonts w:hint="eastAsia" w:ascii="宋体" w:hAnsi="宋体" w:eastAsia="宋体" w:cs="宋体"/>
          <w:spacing w:val="7"/>
          <w:kern w:val="0"/>
          <w:sz w:val="24"/>
          <w:szCs w:val="24"/>
          <w:u w:val="non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七</w:t>
      </w:r>
      <w:r>
        <w:rPr>
          <w:rStyle w:val="5"/>
          <w:rFonts w:hint="eastAsia" w:ascii="宋体" w:hAnsi="宋体" w:eastAsia="宋体" w:cs="宋体"/>
          <w:spacing w:val="6"/>
          <w:kern w:val="0"/>
          <w:sz w:val="24"/>
          <w:szCs w:val="24"/>
          <w:u w:val="none"/>
          <w:lang w:val="en-US" w:eastAsia="zh-CN" w:bidi="ar"/>
        </w:rPr>
        <w:t>、服务政策</w:t>
      </w:r>
      <w:r>
        <w:rPr>
          <w:rStyle w:val="5"/>
          <w:rFonts w:hint="eastAsia" w:ascii="宋体" w:hAnsi="宋体" w:eastAsia="宋体" w:cs="宋体"/>
          <w:spacing w:val="7"/>
          <w:kern w:val="0"/>
          <w:sz w:val="24"/>
          <w:szCs w:val="24"/>
          <w:u w:val="none"/>
          <w:lang w:val="en-US" w:eastAsia="zh-CN" w:bidi="ar"/>
        </w:rPr>
        <w:t>     </w:t>
      </w:r>
    </w:p>
    <w:p w14:paraId="21F11ED3">
      <w:pPr>
        <w:keepNext w:val="0"/>
        <w:keepLines w:val="0"/>
        <w:widowControl/>
        <w:numPr>
          <w:ilvl w:val="0"/>
          <w:numId w:val="0"/>
        </w:numPr>
        <w:suppressLineNumbers w:val="0"/>
        <w:spacing w:line="240" w:lineRule="auto"/>
        <w:jc w:val="left"/>
        <w:rPr>
          <w:rStyle w:val="5"/>
          <w:rFonts w:hint="eastAsia" w:ascii="宋体" w:hAnsi="宋体" w:eastAsia="宋体" w:cs="宋体"/>
          <w:spacing w:val="7"/>
          <w:kern w:val="0"/>
          <w:sz w:val="24"/>
          <w:szCs w:val="24"/>
          <w:u w:val="single"/>
          <w:lang w:val="en-US" w:eastAsia="zh-CN" w:bidi="ar"/>
        </w:rPr>
      </w:pPr>
      <w:bookmarkStart w:id="0" w:name="_GoBack"/>
      <w:bookmarkEnd w:id="0"/>
      <w:r>
        <w:rPr>
          <w:rStyle w:val="5"/>
          <w:rFonts w:hint="eastAsia" w:ascii="宋体" w:hAnsi="宋体" w:eastAsia="宋体" w:cs="宋体"/>
          <w:spacing w:val="7"/>
          <w:kern w:val="0"/>
          <w:sz w:val="24"/>
          <w:szCs w:val="24"/>
          <w:u w:val="none"/>
          <w:lang w:val="en-US" w:eastAsia="zh-CN" w:bidi="ar"/>
        </w:rPr>
        <w:t xml:space="preserve">    </w:t>
      </w:r>
    </w:p>
    <w:p w14:paraId="628E22B4">
      <w:pPr>
        <w:keepNext w:val="0"/>
        <w:keepLines w:val="0"/>
        <w:widowControl/>
        <w:numPr>
          <w:ilvl w:val="0"/>
          <w:numId w:val="3"/>
        </w:numPr>
        <w:suppressLineNumbers w:val="0"/>
        <w:spacing w:line="240" w:lineRule="auto"/>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政策支持。参照大连高新区现行“高新二十条”政策，对优胜落地项目以及符合大连高新区产业发展方向的优秀项目，拟采用地方特色政策、一事一议等方式给予组合支持。同时纳入大连高新区科技成果转化培育体系，协助落户项目匹配上下游产业资源，寻找产品市场，对接产业高端战略机构、创业投资机构、商业银行等创新资源，建立全生命周期服务体系，助力项目扩大应用场景并高效开展科技成果转移转化，推动形成颠覆性技术产业。</w:t>
      </w:r>
    </w:p>
    <w:p w14:paraId="110DCA98">
      <w:pPr>
        <w:keepNext w:val="0"/>
        <w:keepLines w:val="0"/>
        <w:widowControl/>
        <w:numPr>
          <w:ilvl w:val="0"/>
          <w:numId w:val="0"/>
        </w:numPr>
        <w:suppressLineNumbers w:val="0"/>
        <w:spacing w:line="240" w:lineRule="auto"/>
        <w:jc w:val="left"/>
        <w:rPr>
          <w:rFonts w:hint="eastAsia" w:ascii="宋体" w:hAnsi="宋体" w:eastAsia="宋体" w:cs="宋体"/>
          <w:spacing w:val="6"/>
          <w:kern w:val="0"/>
          <w:sz w:val="24"/>
          <w:szCs w:val="24"/>
          <w:lang w:val="en-US" w:eastAsia="zh-CN" w:bidi="ar"/>
        </w:rPr>
      </w:pPr>
    </w:p>
    <w:p w14:paraId="32834EB8">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金融服务。向国家中小企业发展基金、国家制造业转型升级基金、国家集成电路产业投资基金等国家级基金及其他市场化创业投资基金推荐大赛。促进国家产融合作平台为参赛企业在优惠信贷、发行债券、上市融资等方面创造便利条件，大赛合作银行择优给予参赛企业贷款授信支持。</w:t>
      </w:r>
    </w:p>
    <w:p w14:paraId="55BBAF04">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78CEF58D">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人才服务。联合相关高校为参赛企业举办创新创业优秀人才招聘，推荐参赛企业参加国家高新区科研助理岗招聘活动。依托“百园百校万企”合作行动，为高新区、企业提供人才服务。</w:t>
      </w:r>
    </w:p>
    <w:p w14:paraId="0479B792">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55D3B272">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513CBB84">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35076958">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0474485D">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5C4411FC">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专项支持。支持符合条件的参赛企业纳入工业和信息化部优质企业梯度培育体系，争取国家颠覆性技术创新重点专项支持。</w:t>
      </w:r>
    </w:p>
    <w:p w14:paraId="29ABAF3C">
      <w:pPr>
        <w:keepNext w:val="0"/>
        <w:keepLines w:val="0"/>
        <w:widowControl/>
        <w:numPr>
          <w:ilvl w:val="0"/>
          <w:numId w:val="0"/>
        </w:numPr>
        <w:suppressLineNumbers w:val="0"/>
        <w:spacing w:line="240" w:lineRule="auto"/>
        <w:ind w:leftChars="0"/>
        <w:jc w:val="left"/>
        <w:rPr>
          <w:rFonts w:hint="eastAsia" w:ascii="宋体" w:hAnsi="宋体" w:eastAsia="宋体" w:cs="宋体"/>
          <w:spacing w:val="6"/>
          <w:kern w:val="0"/>
          <w:sz w:val="24"/>
          <w:szCs w:val="24"/>
          <w:lang w:val="en-US" w:eastAsia="zh-CN" w:bidi="ar"/>
        </w:rPr>
      </w:pPr>
    </w:p>
    <w:p w14:paraId="08AC4BA7">
      <w:pPr>
        <w:keepNext w:val="0"/>
        <w:keepLines w:val="0"/>
        <w:widowControl/>
        <w:numPr>
          <w:ilvl w:val="0"/>
          <w:numId w:val="3"/>
        </w:numPr>
        <w:suppressLineNumbers w:val="0"/>
        <w:spacing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pacing w:val="6"/>
          <w:kern w:val="0"/>
          <w:sz w:val="24"/>
          <w:szCs w:val="24"/>
          <w:lang w:val="en-US" w:eastAsia="zh-CN" w:bidi="ar"/>
        </w:rPr>
        <w:t>宣传展示。通过中国创新创业大赛官网、合作媒体渠道、大赛附属论坛、展览、培训等活动，对赛事进行宣传展示。</w:t>
      </w:r>
    </w:p>
    <w:p w14:paraId="398D69AD">
      <w:pPr>
        <w:keepNext w:val="0"/>
        <w:keepLines w:val="0"/>
        <w:widowControl/>
        <w:numPr>
          <w:ilvl w:val="0"/>
          <w:numId w:val="0"/>
        </w:numPr>
        <w:suppressLineNumbers w:val="0"/>
        <w:spacing w:line="240" w:lineRule="auto"/>
        <w:ind w:leftChars="0"/>
        <w:jc w:val="left"/>
        <w:rPr>
          <w:rFonts w:hint="eastAsia" w:ascii="宋体" w:hAnsi="宋体" w:eastAsia="宋体" w:cs="宋体"/>
          <w:sz w:val="24"/>
          <w:szCs w:val="24"/>
        </w:rPr>
      </w:pPr>
    </w:p>
    <w:p w14:paraId="1F60A4EF">
      <w:pPr>
        <w:keepNext w:val="0"/>
        <w:keepLines w:val="0"/>
        <w:widowControl/>
        <w:numPr>
          <w:ilvl w:val="0"/>
          <w:numId w:val="0"/>
        </w:numPr>
        <w:suppressLineNumbers w:val="0"/>
        <w:spacing w:line="240" w:lineRule="auto"/>
        <w:ind w:leftChars="0"/>
        <w:jc w:val="left"/>
        <w:rPr>
          <w:rFonts w:hint="eastAsia" w:ascii="宋体" w:hAnsi="宋体" w:eastAsia="宋体" w:cs="宋体"/>
          <w:sz w:val="24"/>
          <w:szCs w:val="24"/>
          <w:u w:val="none"/>
        </w:rPr>
      </w:pPr>
      <w:r>
        <w:rPr>
          <w:rStyle w:val="5"/>
          <w:rFonts w:hint="eastAsia" w:ascii="宋体" w:hAnsi="宋体" w:eastAsia="宋体" w:cs="宋体"/>
          <w:spacing w:val="7"/>
          <w:kern w:val="0"/>
          <w:sz w:val="24"/>
          <w:szCs w:val="24"/>
          <w:u w:val="none"/>
          <w:lang w:val="en-US" w:eastAsia="zh-CN" w:bidi="ar"/>
        </w:rPr>
        <w:t> </w:t>
      </w:r>
      <w:r>
        <w:rPr>
          <w:rStyle w:val="5"/>
          <w:rFonts w:hint="eastAsia" w:ascii="宋体" w:hAnsi="宋体" w:eastAsia="宋体" w:cs="宋体"/>
          <w:spacing w:val="6"/>
          <w:kern w:val="0"/>
          <w:sz w:val="24"/>
          <w:szCs w:val="24"/>
          <w:u w:val="none"/>
          <w:lang w:val="en-US" w:eastAsia="zh-CN" w:bidi="ar"/>
        </w:rPr>
        <w:t>联系人：</w:t>
      </w:r>
    </w:p>
    <w:p w14:paraId="4995389D">
      <w:pPr>
        <w:pStyle w:val="2"/>
        <w:keepNext w:val="0"/>
        <w:keepLines w:val="0"/>
        <w:widowControl/>
        <w:suppressLineNumbers w:val="0"/>
        <w:spacing w:before="0" w:beforeAutospacing="0" w:after="240" w:afterAutospacing="0" w:line="240" w:lineRule="auto"/>
        <w:ind w:left="0" w:right="0" w:firstLine="420"/>
        <w:jc w:val="both"/>
        <w:rPr>
          <w:rFonts w:hint="eastAsia" w:ascii="宋体" w:hAnsi="宋体" w:eastAsia="宋体" w:cs="宋体"/>
          <w:spacing w:val="6"/>
          <w:sz w:val="24"/>
          <w:szCs w:val="24"/>
        </w:rPr>
      </w:pPr>
      <w:r>
        <w:rPr>
          <w:rFonts w:hint="eastAsia" w:ascii="宋体" w:hAnsi="宋体" w:eastAsia="宋体" w:cs="宋体"/>
          <w:spacing w:val="6"/>
          <w:sz w:val="24"/>
          <w:szCs w:val="24"/>
        </w:rPr>
        <w:t>王   洁  0411-81895160</w:t>
      </w:r>
    </w:p>
    <w:p w14:paraId="7A83B06B">
      <w:pPr>
        <w:pStyle w:val="2"/>
        <w:keepNext w:val="0"/>
        <w:keepLines w:val="0"/>
        <w:widowControl/>
        <w:suppressLineNumbers w:val="0"/>
        <w:spacing w:before="0" w:beforeAutospacing="0" w:after="240" w:afterAutospacing="0" w:line="240" w:lineRule="auto"/>
        <w:ind w:left="0" w:right="0" w:firstLine="420"/>
        <w:jc w:val="both"/>
        <w:rPr>
          <w:rFonts w:hint="eastAsia" w:ascii="宋体" w:hAnsi="宋体" w:eastAsia="宋体" w:cs="宋体"/>
          <w:sz w:val="24"/>
          <w:szCs w:val="24"/>
        </w:rPr>
      </w:pPr>
      <w:r>
        <w:rPr>
          <w:rFonts w:hint="eastAsia" w:ascii="宋体" w:hAnsi="宋体" w:eastAsia="宋体" w:cs="宋体"/>
          <w:spacing w:val="6"/>
          <w:kern w:val="0"/>
          <w:sz w:val="24"/>
          <w:szCs w:val="24"/>
          <w:lang w:val="en-US" w:eastAsia="zh-CN" w:bidi="ar"/>
        </w:rPr>
        <w:t>潘雪静  0411-81895271</w:t>
      </w:r>
    </w:p>
    <w:p w14:paraId="1F395C79">
      <w:pPr>
        <w:spacing w:line="24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23065"/>
    <w:multiLevelType w:val="singleLevel"/>
    <w:tmpl w:val="D3D23065"/>
    <w:lvl w:ilvl="0" w:tentative="0">
      <w:start w:val="1"/>
      <w:numFmt w:val="chineseCounting"/>
      <w:suff w:val="nothing"/>
      <w:lvlText w:val="（%1）"/>
      <w:lvlJc w:val="left"/>
      <w:rPr>
        <w:rFonts w:hint="eastAsia"/>
      </w:rPr>
    </w:lvl>
  </w:abstractNum>
  <w:abstractNum w:abstractNumId="1">
    <w:nsid w:val="DC46FEB0"/>
    <w:multiLevelType w:val="singleLevel"/>
    <w:tmpl w:val="DC46FEB0"/>
    <w:lvl w:ilvl="0" w:tentative="0">
      <w:start w:val="1"/>
      <w:numFmt w:val="chineseCounting"/>
      <w:suff w:val="nothing"/>
      <w:lvlText w:val="（%1）"/>
      <w:lvlJc w:val="left"/>
      <w:rPr>
        <w:rFonts w:hint="eastAsia"/>
      </w:rPr>
    </w:lvl>
  </w:abstractNum>
  <w:abstractNum w:abstractNumId="2">
    <w:nsid w:val="1E6EDA14"/>
    <w:multiLevelType w:val="singleLevel"/>
    <w:tmpl w:val="1E6EDA1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12FE68EC"/>
    <w:rsid w:val="12FE68EC"/>
    <w:rsid w:val="20533B65"/>
    <w:rsid w:val="212F207F"/>
    <w:rsid w:val="506408E4"/>
    <w:rsid w:val="747D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2364</Words>
  <Characters>2455</Characters>
  <Lines>0</Lines>
  <Paragraphs>0</Paragraphs>
  <TotalTime>2</TotalTime>
  <ScaleCrop>false</ScaleCrop>
  <LinksUpToDate>false</LinksUpToDate>
  <CharactersWithSpaces>2527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2024-09-18T01:47:00Z</dcterms:created>
  <dc:creator>Bowen</dc:creator>
  <cp:lastModifiedBy>Bowen</cp:lastModifiedBy>
  <dcterms:modified xsi:type="dcterms:W3CDTF">2024-09-18T02:25:01Z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9E2D099608F046989EE1B54DFEF2DA5B_11</vt:lpwstr>
  </property>
</Properties>
</file>